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09 — Grundsteuerreform 2025, Klage gegen Bescheid LK Stuttgart</w:t>
      </w:r>
    </w:p>
    <w:p>
      <w:pPr>
        <w:jc w:val="left"/>
      </w:pPr>
      <w:r>
        <w:rPr>
          <w:b/>
        </w:rPr>
        <w:t>Aktenzeichen: SW/2026/0188-IMM</w:t>
      </w:r>
    </w:p>
    <w:p>
      <w:pPr>
        <w:jc w:val="left"/>
      </w:pPr>
      <w:r>
        <w:t>Stand: 02. März 2026</w:t>
      </w:r>
    </w:p>
    <w:p/>
    <w:p>
      <w:pPr>
        <w:pStyle w:val="Heading2"/>
      </w:pPr>
      <w:r>
        <w:rPr>
          <w:rFonts w:ascii="Times New Roman" w:hAnsi="Times New Roman"/>
        </w:rPr>
        <w:t>1. Hintergrund Grundsteuerreform</w:t>
      </w:r>
    </w:p>
    <w:p>
      <w:pPr>
        <w:jc w:val="left"/>
      </w:pPr>
      <w:r>
        <w:t xml:space="preserve">Mit Wirkung ab 01.01.2025 gilt bundesweit die neue Bemessungsgrundlage für die Grundsteuer. In Baden-Württemberg hat der Gesetzgeber das </w:t>
      </w:r>
      <w:r>
        <w:rPr>
          <w:b/>
        </w:rPr>
        <w:t>modifizierte Bodenwertmodell</w:t>
      </w:r>
      <w:r>
        <w:t xml:space="preserve"> gewählt (§ 1 Grundsteuergesetz BW), das abweichend vom Bundesmodell allein den Bodenwert und nicht den Gebäudewert berücksichtigt. Hierzu wurde das Landesgrundsteuergesetz Baden-Württemberg (LGrStG BW) erlassen.</w:t>
      </w:r>
    </w:p>
    <w:p/>
    <w:p>
      <w:pPr>
        <w:pStyle w:val="Heading2"/>
      </w:pPr>
      <w:r>
        <w:rPr>
          <w:rFonts w:ascii="Times New Roman" w:hAnsi="Times New Roman"/>
        </w:rPr>
        <w:t>2. Grundsteuerbescheid LK Stuttgart</w:t>
      </w:r>
    </w:p>
    <w:p>
      <w:pPr>
        <w:jc w:val="left"/>
      </w:pPr>
      <w:r>
        <w:t xml:space="preserve">Mit Bescheid vom 14.01.2026 (Az. GrSt-2025-4/88-STO) hat das </w:t>
      </w:r>
      <w:r>
        <w:rPr>
          <w:b/>
        </w:rPr>
        <w:t>Landratsamt Stuttgart</w:t>
      </w:r>
      <w:r>
        <w:t xml:space="preserve"> für das Grundstück Talstraße 188 einen Grundsteuermessbetrag von </w:t>
      </w:r>
      <w:r>
        <w:rPr>
          <w:b/>
        </w:rPr>
        <w:t>2.840 EUR/Jahr</w:t>
      </w:r>
      <w:r>
        <w:t xml:space="preserve"> festgesetzt, auf der Grundlage eines Bodenrichtwerts von 1.400 EUR/m² und der Grundstücksfläche von 892 m² (Äquivalenzzahl-Bewertung, § 3 LGrStG BW).</w:t>
      </w:r>
    </w:p>
    <w:p>
      <w:pPr>
        <w:jc w:val="left"/>
      </w:pPr>
      <w:r>
        <w:t>Bisherige Grundsteuer (Einheitswert-System bis 2024): ca. 4.200 EUR/Jahr (höher wegen Einbeziehung des Gebäudewerts).</w:t>
      </w:r>
    </w:p>
    <w:p>
      <w:pPr>
        <w:jc w:val="left"/>
      </w:pPr>
      <w:r>
        <w:rPr>
          <w:b/>
        </w:rPr>
        <w:t>Neuer Jahresbetrag (Hebesatz 510 %, § 25 GrStG):</w:t>
      </w:r>
      <w:r>
        <w:t xml:space="preserve"> 2.840 EUR × 5,10 = </w:t>
      </w:r>
      <w:r>
        <w:rPr>
          <w:b/>
        </w:rPr>
        <w:t>14.484 EUR/Jahr</w:t>
      </w:r>
      <w:r>
        <w:t>.</w:t>
      </w:r>
    </w:p>
    <w:p>
      <w:pPr>
        <w:jc w:val="left"/>
      </w:pPr>
      <w:r>
        <w:rPr>
          <w:b/>
        </w:rPr>
        <w:t>Einspruch begründend:</w:t>
      </w:r>
      <w:r>
        <w:t xml:space="preserve"> Die Mandanten (zukünftige Eigentümer) erwarten, dass der Hebesatz Stuttgart ggf. deutlich erhöht wird, da die Gemeinden Einnahmeausfälle durch niedrigere Messzahlen kompensieren müssen ("Aufkommensneutralität"). Dies ist jedoch nicht gesetzlich garantiert.</w:t>
      </w:r>
    </w:p>
    <w:p/>
    <w:p>
      <w:pPr>
        <w:pStyle w:val="Heading2"/>
      </w:pPr>
      <w:r>
        <w:rPr>
          <w:rFonts w:ascii="Times New Roman" w:hAnsi="Times New Roman"/>
        </w:rPr>
        <w:t>3. Klage gegen Grundsteuermessbescheid</w:t>
      </w:r>
    </w:p>
    <w:p>
      <w:pPr>
        <w:jc w:val="left"/>
      </w:pPr>
      <w:r>
        <w:t>Die bisherige Eigentümerin (Erbengemeinschaft Hellmann) hat gegen den Grundsteuermessbescheid vom 14.01.2026 Einspruch eingelegt (Frist: Ein Monat gem. § 355 AO). Begründung: Der vom Landratsamt zugrunde gelegte Bodenrichtwert von 1.400 EUR/m² sei zu hoch; tatsächlicher Verkehrswert des Bodens (ohne Gebäude) liege eher bei 1.100 EUR/m² (Gutachterausschuss Stuttgart, aktueller Bodenrichtwert-Streit).</w:t>
      </w:r>
    </w:p>
    <w:p>
      <w:pPr>
        <w:jc w:val="left"/>
      </w:pPr>
      <w:r>
        <w:rPr>
          <w:b/>
        </w:rPr>
        <w:t>Klage beim Verwaltungsgericht Stuttgart:</w:t>
      </w:r>
      <w:r>
        <w:t xml:space="preserve"> Erbengemeinschaft plant VG-Klage für den Fall, dass der Einspruch abgewiesen wird (Az. wird nach Einreichung ergänzt). Für die Mandanten als zukünftige Eigentümer ist diese Klage bedeutsam: Bei Kaufvollzug gehen laufende Verfahren auf den neuen Eigentümer über (§ 123 BGB analog); Mandanten können das Klageverfahren fortführen.</w:t>
      </w:r>
    </w:p>
    <w:p/>
    <w:p>
      <w:pPr>
        <w:pStyle w:val="Heading2"/>
      </w:pPr>
      <w:r>
        <w:rPr>
          <w:rFonts w:ascii="Times New Roman" w:hAnsi="Times New Roman"/>
        </w:rPr>
        <w:t>4. Aktuelle verfassungsrechtliche Debatte</w:t>
      </w:r>
    </w:p>
    <w:p>
      <w:pPr>
        <w:jc w:val="left"/>
      </w:pPr>
      <w:r>
        <w:t>Bundesweit sind zahlreiche Verfassungsbeschwerden und Normenkontrollverfahren gegen das neue Grundsteuerrecht anhängig. In Bayern, Niedersachsen und anderen Bundesländern bestreiten Eigentümerverbände die Verfassungskonformität der jeweiligen Landesmodelle.</w:t>
      </w:r>
    </w:p>
    <w:p>
      <w:pPr>
        <w:jc w:val="left"/>
      </w:pPr>
      <w:r>
        <w:t>In Baden-Württemberg: Das reine Bodenwertmodell des LGrStG BW ist Gegenstand von Gutachten, die argumentieren, es verstoße gegen das Äquivalenzprinzip (Art. 3 GG) und das Gebot leistungsgerechter Besteuerung. Urteile des BVerwG hierzu ausstehend (Stand 01.03.2026).</w:t>
      </w:r>
    </w:p>
    <w:p/>
    <w:p>
      <w:pPr>
        <w:pStyle w:val="Heading2"/>
      </w:pPr>
      <w:r>
        <w:rPr>
          <w:rFonts w:ascii="Times New Roman" w:hAnsi="Times New Roman"/>
        </w:rPr>
        <w:t>5. Mandatsbezug und Handlungsempfehlung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Maßnahme</w:t>
            </w:r>
          </w:p>
        </w:tc>
        <w:tc>
          <w:tcPr>
            <w:tcW w:type="dxa" w:w="3024"/>
          </w:tcPr>
          <w:p>
            <w:r>
              <w:rPr>
                <w:rFonts w:ascii="Times New Roman" w:hAnsi="Times New Roman"/>
                <w:b/>
                <w:sz w:val="20"/>
              </w:rPr>
              <w:t>Verantwortlich</w:t>
            </w:r>
          </w:p>
        </w:tc>
        <w:tc>
          <w:tcPr>
            <w:tcW w:type="dxa" w:w="3024"/>
          </w:tcPr>
          <w:p>
            <w:r>
              <w:rPr>
                <w:rFonts w:ascii="Times New Roman" w:hAnsi="Times New Roman"/>
                <w:b/>
                <w:sz w:val="20"/>
              </w:rPr>
              <w:t>Frist</w:t>
            </w:r>
          </w:p>
        </w:tc>
      </w:tr>
      <w:tr>
        <w:tc>
          <w:tcPr>
            <w:tcW w:type="dxa" w:w="3024"/>
          </w:tcPr>
          <w:p>
            <w:r>
              <w:rPr>
                <w:rFonts w:ascii="Times New Roman" w:hAnsi="Times New Roman"/>
                <w:sz w:val="20"/>
              </w:rPr>
              <w:t>Kaufvertrag: Klausel über Übergang laufender Grundsteuerverfahren regeln</w:t>
            </w:r>
          </w:p>
        </w:tc>
        <w:tc>
          <w:tcPr>
            <w:tcW w:type="dxa" w:w="3024"/>
          </w:tcPr>
          <w:p>
            <w:r>
              <w:rPr>
                <w:rFonts w:ascii="Times New Roman" w:hAnsi="Times New Roman"/>
                <w:sz w:val="20"/>
              </w:rPr>
              <w:t>RA Schwingenstein</w:t>
            </w:r>
          </w:p>
        </w:tc>
        <w:tc>
          <w:tcPr>
            <w:tcW w:type="dxa" w:w="3024"/>
          </w:tcPr>
          <w:p>
            <w:r>
              <w:rPr>
                <w:rFonts w:ascii="Times New Roman" w:hAnsi="Times New Roman"/>
                <w:sz w:val="20"/>
              </w:rPr>
              <w:t>Vor Beurkundung</w:t>
            </w:r>
          </w:p>
        </w:tc>
      </w:tr>
      <w:tr>
        <w:tc>
          <w:tcPr>
            <w:tcW w:type="dxa" w:w="3024"/>
          </w:tcPr>
          <w:p>
            <w:r>
              <w:rPr>
                <w:rFonts w:ascii="Times New Roman" w:hAnsi="Times New Roman"/>
                <w:sz w:val="20"/>
              </w:rPr>
              <w:t>Eigenen Einspruch / Klage vorbereiten (nach Eigentumsübergang)</w:t>
            </w:r>
          </w:p>
        </w:tc>
        <w:tc>
          <w:tcPr>
            <w:tcW w:type="dxa" w:w="3024"/>
          </w:tcPr>
          <w:p>
            <w:r>
              <w:rPr>
                <w:rFonts w:ascii="Times New Roman" w:hAnsi="Times New Roman"/>
                <w:sz w:val="20"/>
              </w:rPr>
              <w:t>RA Schwingenstein</w:t>
            </w:r>
          </w:p>
        </w:tc>
        <w:tc>
          <w:tcPr>
            <w:tcW w:type="dxa" w:w="3024"/>
          </w:tcPr>
          <w:p>
            <w:r>
              <w:rPr>
                <w:rFonts w:ascii="Times New Roman" w:hAnsi="Times New Roman"/>
                <w:sz w:val="20"/>
              </w:rPr>
              <w:t>Nach Vollzug</w:t>
            </w:r>
          </w:p>
        </w:tc>
      </w:tr>
      <w:tr>
        <w:tc>
          <w:tcPr>
            <w:tcW w:type="dxa" w:w="3024"/>
          </w:tcPr>
          <w:p>
            <w:r>
              <w:rPr>
                <w:rFonts w:ascii="Times New Roman" w:hAnsi="Times New Roman"/>
                <w:sz w:val="20"/>
              </w:rPr>
              <w:t>Bodenrichtwert-Gegengutachten prüfen</w:t>
            </w:r>
          </w:p>
        </w:tc>
        <w:tc>
          <w:tcPr>
            <w:tcW w:type="dxa" w:w="3024"/>
          </w:tcPr>
          <w:p>
            <w:r>
              <w:rPr>
                <w:rFonts w:ascii="Times New Roman" w:hAnsi="Times New Roman"/>
                <w:sz w:val="20"/>
              </w:rPr>
              <w:t>SV Habermeier</w:t>
            </w:r>
          </w:p>
        </w:tc>
        <w:tc>
          <w:tcPr>
            <w:tcW w:type="dxa" w:w="3024"/>
          </w:tcPr>
          <w:p>
            <w:r>
              <w:rPr>
                <w:rFonts w:ascii="Times New Roman" w:hAnsi="Times New Roman"/>
                <w:sz w:val="20"/>
              </w:rPr>
              <w:t>April 2026</w:t>
            </w:r>
          </w:p>
        </w:tc>
      </w:tr>
      <w:tr>
        <w:tc>
          <w:tcPr>
            <w:tcW w:type="dxa" w:w="3024"/>
          </w:tcPr>
          <w:p>
            <w:r>
              <w:rPr>
                <w:rFonts w:ascii="Times New Roman" w:hAnsi="Times New Roman"/>
                <w:sz w:val="20"/>
              </w:rPr>
              <w:t>Verfassungsbeschwerde im Auge behalten</w:t>
            </w:r>
          </w:p>
        </w:tc>
        <w:tc>
          <w:tcPr>
            <w:tcW w:type="dxa" w:w="3024"/>
          </w:tcPr>
          <w:p>
            <w:r>
              <w:rPr>
                <w:rFonts w:ascii="Times New Roman" w:hAnsi="Times New Roman"/>
                <w:sz w:val="20"/>
              </w:rPr>
              <w:t>RA Schwingenstein</w:t>
            </w:r>
          </w:p>
        </w:tc>
        <w:tc>
          <w:tcPr>
            <w:tcW w:type="dxa" w:w="3024"/>
          </w:tcPr>
          <w:p>
            <w:r>
              <w:rPr>
                <w:rFonts w:ascii="Times New Roman" w:hAnsi="Times New Roman"/>
                <w:sz w:val="20"/>
              </w:rPr>
              <w:t>Laufend</w:t>
            </w:r>
          </w:p>
        </w:tc>
      </w:tr>
    </w:tbl>
    <w:p>
      <w:pPr>
        <w:jc w:val="left"/>
      </w:pPr>
      <w:r>
        <w:t>Kaufpreisverhandlung: Die deutlich gestiegene Grundsteuerlast (14.484 EUR statt ca. 4.200 EUR bisher) ist als laufende Kostensteigerung in die Renditeberechnung einzupreisen. Empfohlen wird eine entsprechende Reduzierung des Kaufpreisangebots um kapitalisierten Mehraufwand (10 Jahre × 10.284 EUR Mehrbelastung ≈ 100.000 EUR Abzug).</w:t>
      </w:r>
    </w:p>
    <w:p/>
    <w:p>
      <w:pPr>
        <w:pStyle w:val="Heading2"/>
      </w:pPr>
      <w:r>
        <w:rPr>
          <w:rFonts w:ascii="Times New Roman" w:hAnsi="Times New Roman"/>
        </w:rPr>
        <w:t>Quellen</w:t>
      </w:r>
    </w:p>
    <w:p>
      <w:pPr>
        <w:pStyle w:val="ListBullet"/>
      </w:pPr>
      <w:r>
        <w:t>Grundsteuergesetz BW (LGrStG BW) — Landesrecht BW</w:t>
      </w:r>
    </w:p>
    <w:p>
      <w:pPr>
        <w:pStyle w:val="ListBullet"/>
      </w:pPr>
      <w:r>
        <w:t>§ 25 GrStG (Bundes-Hebesatz) — dejure.org</w:t>
      </w:r>
    </w:p>
    <w:p>
      <w:pPr>
        <w:pStyle w:val="ListBullet"/>
      </w:pPr>
      <w:r>
        <w:t>§ 355 AO (Einspruchsfrist) — dejure.org</w:t>
      </w:r>
    </w:p>
    <w:p>
      <w:pPr>
        <w:pStyle w:val="ListBullet"/>
      </w:pPr>
      <w:r>
        <w:t>BVerfG, Urt. v. 10.04.2018 — 1 BvL 11/14 — Grundsteuerbewertung verfassungswidrig (Altrecht)</w:t>
      </w:r>
    </w:p>
    <w:p/>
    <w:p>
      <w:pPr>
        <w:jc w:val="left"/>
      </w:pPr>
      <w:r>
        <w:rPr>
          <w:i/>
        </w:rPr>
        <w:t>Bearbeiter: RA/Notar Dr. Bertram Schwingenstein</w:t>
      </w:r>
    </w:p>
    <w:p>
      <w:pPr>
        <w:jc w:val="left"/>
      </w:pPr>
      <w:r>
        <w:rPr>
          <w:i/>
        </w:rPr>
        <w:t>Datum: 02.03.2026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