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WEG-Reform 2020/2024, fehlende Umsetzung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06. März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 xml:space="preserve">Das Objekt Talstraße 188 wird durch den bisherigen Eigentümer Dr. Hellmann — und nach dessen Tod durch die Erbengemeinschaft — als faktische WEG geführt, obwohl die notarielle Teilungserklärung (UR-Nr. 2811/2025) noch nicht im Grundbuch eingetragen ist. Dennoch hat der von Dr. Hellmann eingesetzte </w:t>
      </w:r>
      <w:r>
        <w:rPr>
          <w:b/>
        </w:rPr>
        <w:t>WEG-Verwalter</w:t>
      </w:r>
      <w:r>
        <w:t xml:space="preserve">, die Firma </w:t>
      </w:r>
      <w:r>
        <w:rPr>
          <w:b/>
        </w:rPr>
        <w:t>Stöckach Immobilienverwaltung GmbH</w:t>
      </w:r>
      <w:r>
        <w:t xml:space="preserve"> (Geschäftsführer: Dietmar Langhans), seit Jahren Haushaltsabrechnungen und Beschlussprotokolle erstellt — als ob die WEG bereits rechtlich konstituiert wäre.</w:t>
      </w:r>
    </w:p>
    <w:p>
      <w:pPr>
        <w:jc w:val="left"/>
      </w:pPr>
      <w:r>
        <w:t>Die Prüfung der Verwaltungsunterlagen 2020–2025 ergibt massive Mängel:</w:t>
      </w:r>
    </w:p>
    <w:p/>
    <w:p>
      <w:pPr>
        <w:pStyle w:val="Heading2"/>
      </w:pPr>
      <w:r>
        <w:rPr>
          <w:rFonts w:ascii="Times New Roman" w:hAnsi="Times New Roman"/>
        </w:rPr>
        <w:t>2. Wesentliche Verstöße gegen das WEG (n.F. ab 01.12.2020)</w:t>
      </w:r>
    </w:p>
    <w:p>
      <w:pPr>
        <w:jc w:val="left"/>
      </w:pPr>
      <w:r>
        <w:t>Das WEG wurde durch das WEMoG (Wohnungseigentumsmodernisierungsgesetz) zum 01.12.2020 grundlegend reformiert. Die WEG-Novelle 2024 (Gesetz zur Verbesserung des Wohnungseigentumsrechts, BGBl. I 2024) brachte weitere Anpassungen.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Verstoß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ordentlicher Verwalterbestellungsbeschluss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Stöckach GmbH wurde nie formal durch Eigentümerversammlung bestellt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ordentliche WEG-Versammlung 2020–2025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Protokolle existieren, wurden aber ohne Einladungsfristen erstellt; Stimmberechtigte nur Hellmann selbst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Beschlussbuch 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 Abs. 7 WEG n.F. verlangt Beschlussbuch; keines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 Abs. 7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Rücklagenbildung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Instandhaltungsrücklage (§ 19 Abs. 2 Nr. 4 WEG) nicht gebildet; kein separates Rücklagenkonto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Jahresabrechnung ohne Einzelabrechnung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Abrechnungen bis 2025 ohne Einzelabrechnung je Sondereigentum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Gemeinschaftsordnung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Gemeinschaftsordnung erlassen trotz Teilungserklärungsversuch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 WEG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Barrierereduzierung nicht beraten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20 Abs. 2 WEG n.F. (privilegierte Maßnahmen) nie auf Tagesordnung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20 WEG</w:t>
            </w:r>
          </w:p>
        </w:tc>
      </w:tr>
    </w:tbl>
    <w:p>
      <w:pPr>
        <w:jc w:val="left"/>
      </w:pPr>
      <w:r>
        <w:t>Quellen: § 26 WEG — dejure.org; § 24 WEG — dejure.org; § 19 WEG — dejure.org; § 28 WEG — dejure.org.</w:t>
      </w:r>
    </w:p>
    <w:p/>
    <w:p>
      <w:pPr>
        <w:pStyle w:val="Heading2"/>
      </w:pPr>
      <w:r>
        <w:rPr>
          <w:rFonts w:ascii="Times New Roman" w:hAnsi="Times New Roman"/>
        </w:rPr>
        <w:t>3. Status der Teilungserklärung</w:t>
      </w:r>
    </w:p>
    <w:p>
      <w:pPr>
        <w:jc w:val="left"/>
      </w:pPr>
      <w:r>
        <w:t xml:space="preserve">Die notarielle Teilungserklärung vom 18.09.2025 ist beim Grundbuchamt Stuttgart eingegangen, aber noch nicht eingetragen (Status laut Grundbuchamt: Rücklage wegen fehlender Abgeschlossenheitsbescheinigung der Baubehörde). Ohne Eintragung im Grundbuch existiert </w:t>
      </w:r>
      <w:r>
        <w:rPr>
          <w:b/>
        </w:rPr>
        <w:t>keine WEG im Rechtssinne</w:t>
      </w:r>
      <w:r>
        <w:t xml:space="preserve"> (§ 8 Abs. 2 WEG: Entstehung durch GB-Eintragung).</w:t>
      </w:r>
    </w:p>
    <w:p>
      <w:pPr>
        <w:jc w:val="left"/>
      </w:pPr>
      <w:r>
        <w:t>Dies bedeutet: Sämtliche von der Stöckach GmbH geführten WEG-Beschlüsse und Abrechnungen sind rechtlich nicht als WEG-Beschlüsse qualifizierbar; die WEG als Verband existiert nicht. Die Verwalterin hat de facto über fremdes Eigentum verfügt, ohne Legitimation.</w:t>
      </w:r>
    </w:p>
    <w:p/>
    <w:p>
      <w:pPr>
        <w:pStyle w:val="Heading2"/>
      </w:pPr>
      <w:r>
        <w:rPr>
          <w:rFonts w:ascii="Times New Roman" w:hAnsi="Times New Roman"/>
        </w:rPr>
        <w:t>4. Haftung des Verwalters</w:t>
      </w:r>
    </w:p>
    <w:p>
      <w:pPr>
        <w:jc w:val="left"/>
      </w:pPr>
      <w:r>
        <w:t>Stöckach Immobilienverwaltung GmbH hat — bei fehlender WEG-Existenz — gleichwohl Wirtschaftspläne aufgestellt und Rechnungen aus dem "WEG-Konto" (tatsächlich: Treuhandkonto auf Namen Hellmann) bezahlt. Prüfung, ob Gelder ordnungsgemäß verwendet wurden oder ob eine Schadensersatzpflicht nach §§ 280, 667 BGB (Auftrag/Geschäftsführung ohne Auftrag) besteht.</w:t>
      </w:r>
    </w:p>
    <w:p>
      <w:pPr>
        <w:jc w:val="left"/>
      </w:pPr>
      <w:r>
        <w:t>Quelle: § 280 BGB — dejure.org; § 667 BGB — dejure.org.</w:t>
      </w:r>
    </w:p>
    <w:p/>
    <w:p>
      <w:pPr>
        <w:pStyle w:val="Heading2"/>
      </w:pPr>
      <w:r>
        <w:rPr>
          <w:rFonts w:ascii="Times New Roman" w:hAnsi="Times New Roman"/>
        </w:rPr>
        <w:t>5. Relevanz für Mandanten (Käufer)</w:t>
      </w:r>
    </w:p>
    <w:p>
      <w:pPr>
        <w:jc w:val="left"/>
      </w:pPr>
      <w:r>
        <w:t>Nach Eigentumsübergang:</w:t>
      </w:r>
    </w:p>
    <w:p>
      <w:pPr>
        <w:pStyle w:val="ListNumber"/>
      </w:pPr>
      <w:r>
        <w:t>Mandanten müssen entscheiden, ob sie die Teilungserklärung aufrechterhalten und durch die Baubehörde genehmigen lassen (Abgeschlossenheitsbescheinigung beantragen) oder ob sie die Teilungserklärung rückabwickeln.</w:t>
      </w:r>
    </w:p>
    <w:p>
      <w:pPr>
        <w:pStyle w:val="ListNumber"/>
      </w:pPr>
      <w:r>
        <w:t>Die Rücklage (laut Verwalter angeblich 48.000 EUR auf dem Treuhandkonto) muss vollständig übergeben werden. Nachweis anfordern.</w:t>
      </w:r>
    </w:p>
    <w:p>
      <w:pPr>
        <w:pStyle w:val="ListNumber"/>
      </w:pPr>
      <w:r>
        <w:t>Verwaltervertrag mit Stöckach GmbH ist mangels wirksamer WEG nichtig; nach Vollzug kann jederzeit neuer Verwalter bestellt werden (§ 26 WEG).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8 WEG — dejure.org</w:t>
      </w:r>
    </w:p>
    <w:p>
      <w:pPr>
        <w:pStyle w:val="ListBullet"/>
      </w:pPr>
      <w:r>
        <w:t>§ 10 WEG — dejure.org</w:t>
      </w:r>
    </w:p>
    <w:p>
      <w:pPr>
        <w:pStyle w:val="ListBullet"/>
      </w:pPr>
      <w:r>
        <w:t>§ 19 WEG — dejure.org</w:t>
      </w:r>
    </w:p>
    <w:p>
      <w:pPr>
        <w:pStyle w:val="ListBullet"/>
      </w:pPr>
      <w:r>
        <w:t>§ 20 WEG — dejure.org</w:t>
      </w:r>
    </w:p>
    <w:p>
      <w:pPr>
        <w:pStyle w:val="ListBullet"/>
      </w:pPr>
      <w:r>
        <w:t>§ 24 WEG — dejure.org</w:t>
      </w:r>
    </w:p>
    <w:p>
      <w:pPr>
        <w:pStyle w:val="ListBullet"/>
      </w:pPr>
      <w:r>
        <w:t>§ 26 WEG — dejure.org</w:t>
      </w:r>
    </w:p>
    <w:p>
      <w:pPr>
        <w:pStyle w:val="ListBullet"/>
      </w:pPr>
      <w:r>
        <w:t>§ 28 WEG — dejure.org</w:t>
      </w:r>
    </w:p>
    <w:p>
      <w:pPr>
        <w:pStyle w:val="ListBullet"/>
      </w:pPr>
      <w:r>
        <w:t>BGH, Beschl. v. 08.03.2018 — V ZB 27/17 — WEG-Entstehung durch Grundbucheintragung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06.03.2026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