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11 — Denkmalschutz, DSchG BW, Teilstellung</w:t>
      </w:r>
    </w:p>
    <w:p>
      <w:pPr>
        <w:jc w:val="left"/>
      </w:pPr>
      <w:r>
        <w:rPr>
          <w:b/>
        </w:rPr>
        <w:t>Aktenzeichen: SW/2026/0188-IMM</w:t>
      </w:r>
    </w:p>
    <w:p>
      <w:pPr>
        <w:jc w:val="left"/>
      </w:pPr>
      <w:r>
        <w:t>Stand: 10. März 2026</w:t>
      </w:r>
    </w:p>
    <w:p/>
    <w:p>
      <w:pPr>
        <w:pStyle w:val="Heading2"/>
      </w:pPr>
      <w:r>
        <w:rPr>
          <w:rFonts w:ascii="Times New Roman" w:hAnsi="Times New Roman"/>
        </w:rPr>
        <w:t>1. Sachverhalt Denkmalschutz</w:t>
      </w:r>
    </w:p>
    <w:p>
      <w:pPr>
        <w:jc w:val="left"/>
      </w:pPr>
      <w:r>
        <w:t xml:space="preserve">Das Gebäude Talstraße 188, Stuttgart-Ost, steht unter </w:t>
      </w:r>
      <w:r>
        <w:rPr>
          <w:b/>
        </w:rPr>
        <w:t>Teilstellung</w:t>
      </w:r>
      <w:r>
        <w:t xml:space="preserve"> als Kulturdenkmal nach dem Denkmalschutzgesetz Baden-Württemberg (DSchG BW). Die Denkmaleigenschaft bezieht sich nach der Denkmalliste Stuttgart (Stand 2024) auf:</w:t>
      </w:r>
    </w:p>
    <w:p>
      <w:pPr>
        <w:pStyle w:val="ListBullet"/>
      </w:pPr>
      <w:r>
        <w:rPr>
          <w:b/>
        </w:rPr>
        <w:t>Fassade</w:t>
      </w:r>
      <w:r>
        <w:t xml:space="preserve"> (Straßenfront): Jugendstil-Stuck, Erker links, Originalfensterrahmen OG 1–3 (Straßenseite).</w:t>
      </w:r>
    </w:p>
    <w:p>
      <w:pPr>
        <w:pStyle w:val="ListBullet"/>
      </w:pPr>
      <w:r>
        <w:rPr>
          <w:b/>
        </w:rPr>
        <w:t>Treppenhaus</w:t>
      </w:r>
      <w:r>
        <w:t xml:space="preserve"> innen: Originalgeländer Schmiedeeisen, Terrazzoboden EG bis OG 3, Stuckdecke Treppenhaus.</w:t>
      </w:r>
    </w:p>
    <w:p>
      <w:pPr>
        <w:jc w:val="left"/>
      </w:pPr>
      <w:r>
        <w:t>Nicht denkmalgeschützt: Innenwände, Wohnungsgrundrisse, Kellergeschoss, rückwärtiger Anbau (Waschküche, 1965 angebaut).</w:t>
      </w:r>
    </w:p>
    <w:p>
      <w:pPr>
        <w:jc w:val="left"/>
      </w:pPr>
      <w:r>
        <w:t>Zuständige Behörde: Landesamt für Denkmalpflege Baden-Württemberg (LAD BW), Dienstsitz Stuttgart; Ansprechperson: Dr. Margit Kellermann.</w:t>
      </w:r>
    </w:p>
    <w:p/>
    <w:p>
      <w:pPr>
        <w:pStyle w:val="Heading2"/>
      </w:pPr>
      <w:r>
        <w:rPr>
          <w:rFonts w:ascii="Times New Roman" w:hAnsi="Times New Roman"/>
        </w:rPr>
        <w:t>2. Rechtliche Grundlagen DSchG BW</w:t>
      </w:r>
    </w:p>
    <w:p>
      <w:pPr>
        <w:pStyle w:val="Heading3"/>
      </w:pPr>
      <w:r>
        <w:rPr>
          <w:rFonts w:ascii="Times New Roman" w:hAnsi="Times New Roman"/>
        </w:rPr>
        <w:t>§ 2 DSchG BW — Kulturdenkmal</w:t>
      </w:r>
    </w:p>
    <w:p>
      <w:pPr>
        <w:jc w:val="left"/>
      </w:pPr>
      <w:r>
        <w:t>Kulturdenkmale sind Sachen, Sachgesamtheiten, Teile und Spuren von Sachen, an deren Erhaltung aus wissenschaftlichen, künstlerischen, heimatgeschichtlichen oder sonstigen kulturellen Gründen ein öffentliches Interesse besteht (§ 2 Abs. 1 DSchG BW).</w:t>
      </w:r>
    </w:p>
    <w:p>
      <w:pPr>
        <w:jc w:val="left"/>
      </w:pPr>
      <w:r>
        <w:t>Quelle: DSchG BW auf landesrecht-bw.de</w:t>
      </w:r>
    </w:p>
    <w:p>
      <w:pPr>
        <w:pStyle w:val="Heading3"/>
      </w:pPr>
      <w:r>
        <w:rPr>
          <w:rFonts w:ascii="Times New Roman" w:hAnsi="Times New Roman"/>
        </w:rPr>
        <w:t>§ 8 DSchG BW — Genehmigungspflicht</w:t>
      </w:r>
    </w:p>
    <w:p>
      <w:pPr>
        <w:jc w:val="left"/>
      </w:pPr>
      <w:r>
        <w:t>Maßnahmen, die ein Kulturdenkmal oder seine geschützte Substanz verändern, zerstören oder beeinträchtigen können, bedürfen der schriftlichen Genehmigung der Denkmalschutzbehörde (§ 8 Abs. 1 DSchG BW).</w:t>
      </w:r>
    </w:p>
    <w:p>
      <w:pPr>
        <w:jc w:val="left"/>
      </w:pPr>
      <w:r>
        <w:t>Genehmigungspflichtige Maßnahmen im vorliegenden Fall:</w:t>
      </w:r>
    </w:p>
    <w:p>
      <w:pPr>
        <w:pStyle w:val="ListBullet"/>
      </w:pPr>
      <w:r>
        <w:t>Fassadenanstrich in neuem Farbton</w:t>
      </w:r>
    </w:p>
    <w:p>
      <w:pPr>
        <w:pStyle w:val="ListBullet"/>
      </w:pPr>
      <w:r>
        <w:t>Austausch historischer Fenster (auch wenn Schallschutz- oder Wärmeschutzgründe vorliegen)</w:t>
      </w:r>
    </w:p>
    <w:p>
      <w:pPr>
        <w:pStyle w:val="ListBullet"/>
      </w:pPr>
      <w:r>
        <w:t>Eingriffe ins Treppenhaus (Modernisierung Aufzug)</w:t>
      </w:r>
    </w:p>
    <w:p>
      <w:pPr>
        <w:pStyle w:val="ListBullet"/>
      </w:pPr>
      <w:r>
        <w:t>Veränderungen an Stuckdecke Treppenhaus</w:t>
      </w:r>
    </w:p>
    <w:p>
      <w:pPr>
        <w:jc w:val="left"/>
      </w:pPr>
      <w:r>
        <w:t>Nicht genehmigungspflichtig: Innenausbau der Wohneinheiten (nicht geschützt), Kellerrenovierung, rückwärtiger Anbau.</w:t>
      </w:r>
    </w:p>
    <w:p>
      <w:pPr>
        <w:pStyle w:val="Heading3"/>
      </w:pPr>
      <w:r>
        <w:rPr>
          <w:rFonts w:ascii="Times New Roman" w:hAnsi="Times New Roman"/>
        </w:rPr>
        <w:t>§ 9 DSchG BW — Steuerliche Vergünstigungen</w:t>
      </w:r>
    </w:p>
    <w:p>
      <w:pPr>
        <w:jc w:val="left"/>
      </w:pPr>
      <w:r>
        <w:t>Eigentümer von Kulturdenkmalen können erhöhte Absetzungen nach § 7i EStG (Erhaltungsmaßnahmen) und § 10g EStG (Sonderausgaben für nicht zur Einkunftserzielung genutzte Teile) geltend machen.</w:t>
      </w:r>
    </w:p>
    <w:p>
      <w:pPr>
        <w:jc w:val="left"/>
      </w:pPr>
      <w:r>
        <w:t>Für Mandanten als Vermieter relevant: § 7i EStG ermöglicht 9 % p.a. (in den ersten acht Jahren), dann 7 % p.a. (in den folgenden vier Jahren) erhöhte Absetzung für denkmalgerechte Sanierungskosten.</w:t>
      </w:r>
    </w:p>
    <w:p/>
    <w:p>
      <w:pPr>
        <w:pStyle w:val="Heading2"/>
      </w:pPr>
      <w:r>
        <w:rPr>
          <w:rFonts w:ascii="Times New Roman" w:hAnsi="Times New Roman"/>
        </w:rPr>
        <w:t>3. Konflikt: Energetische Sanierung vs. Denkmalschutz</w:t>
      </w:r>
    </w:p>
    <w:p>
      <w:pPr>
        <w:jc w:val="left"/>
      </w:pPr>
      <w:r>
        <w:t>Der Energieausweis-Mangel (Aktenstück 06) stellt das zentrale Spannungsfeld dar: Die energetisch notwendige Sanierung (Dämmung Außenwand, Fensterwechsel) kollidiert mit den Denkmalschutzauflagen: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Energetisch sinnvoll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Denkmalrechtlich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Außenwanddämmung (WDVS)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genehmigungsfähig (Fassade geschützt)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Ausgeschlossen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Innendämmung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(eingeschränkt)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Genehmigungsfähig (Innenwände nicht geschützt)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Möglich, aber aufwendig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Fensterwechsel (straßenseitig)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Nur denkmalgerechte Variante (historisches Format, Holz)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Möglich, teurer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Fensterwechsel (hofseitig)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Genehmigungsfähig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Möglich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Heizungserneuerung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 (GEG-Pflicht ab 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betroffen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Problemlos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Kellerdeckendämmung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betroffen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Problemlos</w:t>
            </w:r>
          </w:p>
        </w:tc>
      </w:tr>
    </w:tbl>
    <w:p>
      <w:pPr>
        <w:jc w:val="left"/>
      </w:pPr>
      <w:r>
        <w:rPr>
          <w:b/>
        </w:rPr>
        <w:t>Fazit:</w:t>
      </w:r>
      <w:r>
        <w:t xml:space="preserve"> Eine vollständige Sanierung auf Energieklasse B ist unter Denkmalschutz kaum erreichbar; realistisch ist Klasse D bis E. Dies muss in die Kaufpreisverhandlung einfließen.</w:t>
      </w:r>
    </w:p>
    <w:p/>
    <w:p>
      <w:pPr>
        <w:pStyle w:val="Heading2"/>
      </w:pPr>
      <w:r>
        <w:rPr>
          <w:rFonts w:ascii="Times New Roman" w:hAnsi="Times New Roman"/>
        </w:rPr>
        <w:t>4. Steuerliche Opportunität für Mandanten</w:t>
      </w:r>
    </w:p>
    <w:p>
      <w:pPr>
        <w:jc w:val="left"/>
      </w:pPr>
      <w:r>
        <w:t>Bei Sanierungsmaßnahmen von ca. 350.000–500.000 EUR (Schätzung Oberholzer) und Annahme von 70 % denkmalgerecht förderfähigem Anteil (ca. 245.000–350.000 EUR):</w:t>
      </w:r>
    </w:p>
    <w:p>
      <w:pPr>
        <w:jc w:val="left"/>
      </w:pPr>
      <w:r>
        <w:t>Steuerersparnis über 12 Jahre (§ 7i EStG): Ca. 100.000–140.000 EUR (Grenzsteuersatz 45 %). Dieses Potenzial ist in der Wirtschaftlichkeitsplanung der Mandanten zu berücksichtigen.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DSchG BW — Landesrecht Baden-Württemberg</w:t>
      </w:r>
    </w:p>
    <w:p>
      <w:pPr>
        <w:pStyle w:val="ListBullet"/>
      </w:pPr>
      <w:r>
        <w:t>§ 7i EStG — dejure.org</w:t>
      </w:r>
    </w:p>
    <w:p>
      <w:pPr>
        <w:pStyle w:val="ListBullet"/>
      </w:pPr>
      <w:r>
        <w:t>§ 10g EStG — dejure.org</w:t>
      </w:r>
    </w:p>
    <w:p>
      <w:pPr>
        <w:pStyle w:val="ListBullet"/>
      </w:pPr>
      <w:r>
        <w:t>OVG Baden-Württemberg, Urt. v. 12.05.2015 — 1 S 2047/13 — Denkmalschutz vs. Energiesanierung</w:t>
      </w:r>
    </w:p>
    <w:p/>
    <w:p>
      <w:pPr>
        <w:jc w:val="left"/>
      </w:pPr>
      <w:r>
        <w:rPr>
          <w:i/>
        </w:rPr>
        <w:t>Bearbeiter: RA/Notar Dr. Bertram Schwingenstein</w:t>
      </w:r>
    </w:p>
    <w:p>
      <w:pPr>
        <w:jc w:val="left"/>
      </w:pPr>
      <w:r>
        <w:rPr>
          <w:i/>
        </w:rPr>
        <w:t>Datum: 10.03.2026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