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12 — Notarvertrags-Entwurf, § 311b BGB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18. März 2026</w:t>
      </w:r>
    </w:p>
    <w:p/>
    <w:p>
      <w:pPr>
        <w:pStyle w:val="Heading2"/>
      </w:pPr>
      <w:r>
        <w:rPr>
          <w:rFonts w:ascii="Times New Roman" w:hAnsi="Times New Roman"/>
        </w:rPr>
        <w:t>1. Beurkundungspflicht</w:t>
      </w:r>
    </w:p>
    <w:p>
      <w:pPr>
        <w:jc w:val="left"/>
      </w:pPr>
      <w:r>
        <w:t>Grundstückskaufverträge bedürfen nach § 311b Abs. 1 S. 1 BGB der notariellen Beurkundung. Ein ohne Beurkundung geschlossener Kaufvertrag über ein Grundstück ist nichtig (§ 125 BGB). Der Beurkundungsakt heilt jedoch nach § 311b Abs. 1 S. 2 BGB das formnichtige Rechtsgeschäft, wenn Auflassung und Eintragung nachfolgen.</w:t>
      </w:r>
    </w:p>
    <w:p>
      <w:pPr>
        <w:jc w:val="left"/>
      </w:pPr>
      <w:r>
        <w:t>Quelle: § 311b BGB — dejure.org; § 125 BGB — dejure.org.</w:t>
      </w:r>
    </w:p>
    <w:p>
      <w:pPr>
        <w:jc w:val="left"/>
      </w:pPr>
      <w:r>
        <w:t xml:space="preserve">Der Notarvertragsentwurf (vgl. </w:t>
      </w:r>
      <w:r>
        <w:t>docx/notarvertrag_kaufvertrag_rosenmuendl_redacted.docx</w:t>
      </w:r>
      <w:r>
        <w:t>) berücksichtigt alle bisherigen Prüfungsergebnisse.</w:t>
      </w:r>
    </w:p>
    <w:p/>
    <w:p>
      <w:pPr>
        <w:pStyle w:val="Heading2"/>
      </w:pPr>
      <w:r>
        <w:rPr>
          <w:rFonts w:ascii="Times New Roman" w:hAnsi="Times New Roman"/>
        </w:rPr>
        <w:t>2. Wesentliche Vertragsklauseln (Entwurf-Übersicht)</w:t>
      </w:r>
    </w:p>
    <w:p>
      <w:pPr>
        <w:pStyle w:val="Heading3"/>
      </w:pPr>
      <w:r>
        <w:rPr>
          <w:rFonts w:ascii="Times New Roman" w:hAnsi="Times New Roman"/>
        </w:rPr>
        <w:t>§ 1 — Kaufgegenstand und Kaufpreis</w:t>
      </w:r>
    </w:p>
    <w:p>
      <w:pPr>
        <w:jc w:val="left"/>
      </w:pPr>
      <w:r>
        <w:t>Kaufgegenstand: Grundstück Stöckach Blatt 1408, Flur 12, Flurstück 4/88, Talstraße 188, Stuttgart-Ost, nebst aufstehendem Gebäude.</w:t>
      </w:r>
    </w:p>
    <w:p>
      <w:pPr>
        <w:jc w:val="left"/>
      </w:pPr>
      <w:r>
        <w:t>Kaufpreis: 4.650.000 EUR (reduziert gegenüber Ausgangsforderung um 150.000 EUR aufgrund: Baulast-Abzug 80.000 EUR, Bleirohre 50.000 EUR, Energieausweis-Mangel 20.000 EUR — vorbehaltlich weiterer Verhandlung).</w:t>
      </w:r>
    </w:p>
    <w:p>
      <w:pPr>
        <w:pStyle w:val="Heading3"/>
      </w:pPr>
      <w:r>
        <w:rPr>
          <w:rFonts w:ascii="Times New Roman" w:hAnsi="Times New Roman"/>
        </w:rPr>
        <w:t>§ 2 — Grundschuldlöschungen</w:t>
      </w:r>
    </w:p>
    <w:p>
      <w:pPr>
        <w:jc w:val="left"/>
      </w:pPr>
      <w:r>
        <w:t>Verkäufer (Erbengemeinschaft) verpflichtet sich, vor Fälligkeit des Kaufpreises die Löschungsbewilligungen der LBBW (Grundschuld 1.200.000 EUR) und der Deutsche Bank (800.000 EUR) beizubringen; diese sind bis spätestens 30.04.2026 vorzulegen.</w:t>
      </w:r>
    </w:p>
    <w:p>
      <w:pPr>
        <w:pStyle w:val="Heading3"/>
      </w:pPr>
      <w:r>
        <w:rPr>
          <w:rFonts w:ascii="Times New Roman" w:hAnsi="Times New Roman"/>
        </w:rPr>
        <w:t>§ 3 — Baulastenoffenbarung</w:t>
      </w:r>
    </w:p>
    <w:p>
      <w:pPr>
        <w:jc w:val="left"/>
      </w:pPr>
      <w:r>
        <w:t>Alle im Baulastenverzeichnis Stuttgart eingetragenen Baulasten werden als vertragswesentlicher Umstand ausdrücklich im Kaufvertrag aufgeführt. Die Baulast Geh- und Fahrrecht (BV Stuttgart, Bd. 12, Bl. 88) gilt als bekannt und ist vom Kaufpreis reflektiert.</w:t>
      </w:r>
    </w:p>
    <w:p>
      <w:pPr>
        <w:pStyle w:val="Heading3"/>
      </w:pPr>
      <w:r>
        <w:rPr>
          <w:rFonts w:ascii="Times New Roman" w:hAnsi="Times New Roman"/>
        </w:rPr>
        <w:t>§ 4 — Sachmängelhaftung</w:t>
      </w:r>
    </w:p>
    <w:p>
      <w:pPr>
        <w:jc w:val="left"/>
      </w:pPr>
      <w:r>
        <w:t>Abweichend vom gesetzlichen Ausschluss (§ 444 BGB) behält sich Käufer ausdrücklich Sachmängelansprüche vor für:</w:t>
      </w:r>
    </w:p>
    <w:p>
      <w:pPr>
        <w:jc w:val="left"/>
      </w:pPr>
      <w:r>
        <w:t>a) Die Bleirohre in WE 1, 3, 5, 7 (bekannter Mangel, nicht bereinigt);</w:t>
      </w:r>
    </w:p>
    <w:p>
      <w:pPr>
        <w:jc w:val="left"/>
      </w:pPr>
      <w:r>
        <w:t>b) Alle versteckte Mängel, die bei der Begehung vom 02.02.2026 nicht erkannt werden konnten.</w:t>
      </w:r>
    </w:p>
    <w:p>
      <w:pPr>
        <w:pStyle w:val="Heading3"/>
      </w:pPr>
      <w:r>
        <w:rPr>
          <w:rFonts w:ascii="Times New Roman" w:hAnsi="Times New Roman"/>
        </w:rPr>
        <w:t>§ 5 — Besitzübergang und Mieteinnahmen</w:t>
      </w:r>
    </w:p>
    <w:p>
      <w:pPr>
        <w:jc w:val="left"/>
      </w:pPr>
      <w:r>
        <w:t>Besitzübergang und Übergang der Mietvertragspartnerschaft (§ 566 BGB — "Kauf bricht nicht Miete") mit Vollzahlung des Kaufpreises, voraussichtlich 15.05.2026.</w:t>
      </w:r>
    </w:p>
    <w:p>
      <w:pPr>
        <w:jc w:val="left"/>
      </w:pPr>
      <w:r>
        <w:t>Quelle: § 566 BGB — dejure.org.</w:t>
      </w:r>
    </w:p>
    <w:p>
      <w:pPr>
        <w:jc w:val="left"/>
      </w:pPr>
      <w:r>
        <w:t>Mieteinnahmen ab Besitzübergang stehen dem Käufer zu; anteilige Mieten für Mai 2026 werden zeitanteilig verrechnet.</w:t>
      </w:r>
    </w:p>
    <w:p>
      <w:pPr>
        <w:pStyle w:val="Heading3"/>
      </w:pPr>
      <w:r>
        <w:rPr>
          <w:rFonts w:ascii="Times New Roman" w:hAnsi="Times New Roman"/>
        </w:rPr>
        <w:t>§ 6 — Teilungserklärung</w:t>
      </w:r>
    </w:p>
    <w:p>
      <w:pPr>
        <w:jc w:val="left"/>
      </w:pPr>
      <w:r>
        <w:t xml:space="preserve">Käufer und Verkäufer vereinbaren, dass der beim Grundbuchamt ausstehende Eintragungsantrag zur Teilungserklärung (UR-Nr. 2811/2025) bis zum Vollzug des Kaufvertrags </w:t>
      </w:r>
      <w:r>
        <w:rPr>
          <w:b/>
        </w:rPr>
        <w:t>zurückgezogen</w:t>
      </w:r>
      <w:r>
        <w:t xml:space="preserve"> wird. Käufer behalten sich vor, nach Eigentumsübergang eine eigene Teilungserklärung zu veranlassen.</w:t>
      </w:r>
    </w:p>
    <w:p>
      <w:pPr>
        <w:pStyle w:val="Heading3"/>
      </w:pPr>
      <w:r>
        <w:rPr>
          <w:rFonts w:ascii="Times New Roman" w:hAnsi="Times New Roman"/>
        </w:rPr>
        <w:t>§ 7 — Rücktrittsrecht</w:t>
      </w:r>
    </w:p>
    <w:p>
      <w:pPr>
        <w:jc w:val="left"/>
      </w:pPr>
      <w:r>
        <w:t>Käufer behalten das Recht, vom Kaufvertrag zurückzutreten, wenn:</w:t>
      </w:r>
    </w:p>
    <w:p>
      <w:pPr>
        <w:jc w:val="left"/>
      </w:pPr>
      <w:r>
        <w:t>a) Nicht alle vier Miterben der Erbengemeinschaft bis 30.04.2026 die Auflassung erklären;</w:t>
      </w:r>
    </w:p>
    <w:p>
      <w:pPr>
        <w:jc w:val="left"/>
      </w:pPr>
      <w:r>
        <w:t>b) Im Baulastenverzeichnis weitere, bislang nicht offenbarte Baulasten festgestellt werden;</w:t>
      </w:r>
    </w:p>
    <w:p>
      <w:pPr>
        <w:jc w:val="left"/>
      </w:pPr>
      <w:r>
        <w:t>c) Das SV-Gutachten zur Wertermittlung (Habermeier) erhebliche weitere Mängel aufdeckt.</w:t>
      </w:r>
    </w:p>
    <w:p/>
    <w:p>
      <w:pPr>
        <w:pStyle w:val="Heading2"/>
      </w:pPr>
      <w:r>
        <w:rPr>
          <w:rFonts w:ascii="Times New Roman" w:hAnsi="Times New Roman"/>
        </w:rPr>
        <w:t>3. Grunderwerbsteuer</w:t>
      </w:r>
    </w:p>
    <w:p>
      <w:pPr>
        <w:jc w:val="left"/>
      </w:pPr>
      <w:r>
        <w:t>Bemessungsgrundlage: Kaufpreis 4.650.000 EUR.</w:t>
      </w:r>
    </w:p>
    <w:p>
      <w:pPr>
        <w:jc w:val="left"/>
      </w:pPr>
      <w:r>
        <w:t>GrESt-Satz BW: 5,0 % (§ 11 GrEStG i.V.m. BW-Landesregelung).</w:t>
      </w:r>
    </w:p>
    <w:p>
      <w:pPr>
        <w:jc w:val="left"/>
      </w:pPr>
      <w:r>
        <w:t>Fälliger GrESt-Betrag: 232.500 EUR.</w:t>
      </w:r>
    </w:p>
    <w:p>
      <w:pPr>
        <w:jc w:val="left"/>
      </w:pPr>
      <w:r>
        <w:t>Quelle: § 11 GrEStG — dejure.org.</w:t>
      </w:r>
    </w:p>
    <w:p>
      <w:pPr>
        <w:jc w:val="left"/>
      </w:pPr>
      <w:r>
        <w:t>Grunderwerbsteuer ist von Käufer zu tragen; Fälligkeit: binnen Monatsfrist nach Bekanntgabe des GrESt-Bescheids durch das Finanzamt.</w:t>
      </w:r>
    </w:p>
    <w:p/>
    <w:p>
      <w:pPr>
        <w:pStyle w:val="Heading2"/>
      </w:pPr>
      <w:r>
        <w:rPr>
          <w:rFonts w:ascii="Times New Roman" w:hAnsi="Times New Roman"/>
        </w:rPr>
        <w:t>4. Notargebühren</w:t>
      </w:r>
    </w:p>
    <w:p>
      <w:pPr>
        <w:jc w:val="left"/>
      </w:pPr>
      <w:r>
        <w:t>Notar Schwingenstein-Büro (Eigennotar ausgeschlossen — Käufer- und Verkäuferinteresse; Neutralitätsgebot § 14 BNotO). Die Beurkundung erfolgt durch den amtlich bestellten Notar Dr. Schwingenstein, der beide Seiten vertritt.</w:t>
      </w:r>
    </w:p>
    <w:p>
      <w:pPr>
        <w:jc w:val="left"/>
      </w:pPr>
      <w:r>
        <w:t>Hinweis: § 14 BNotO: Notare haben ihr Amt unparteiisch auszuüben. Im vorliegenden Fall ist Schwingenstein gleichzeitig Anwalt der Käufer und Notar — Interessenkonflikt muss offengelegt werden; ggf. ist für die Beurkundung ein anderer Notar zu bestellen (Notar Dr. Friedrich Breitenbach, Stuttgart).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311b BGB — dejure.org</w:t>
      </w:r>
    </w:p>
    <w:p>
      <w:pPr>
        <w:pStyle w:val="ListBullet"/>
      </w:pPr>
      <w:r>
        <w:t>§ 125 BGB — dejure.org</w:t>
      </w:r>
    </w:p>
    <w:p>
      <w:pPr>
        <w:pStyle w:val="ListBullet"/>
      </w:pPr>
      <w:r>
        <w:t>§ 444 BGB — dejure.org</w:t>
      </w:r>
    </w:p>
    <w:p>
      <w:pPr>
        <w:pStyle w:val="ListBullet"/>
      </w:pPr>
      <w:r>
        <w:t>§ 566 BGB — dejure.org</w:t>
      </w:r>
    </w:p>
    <w:p>
      <w:pPr>
        <w:pStyle w:val="ListBullet"/>
      </w:pPr>
      <w:r>
        <w:t>§ 11 GrEStG — dejure.org</w:t>
      </w:r>
    </w:p>
    <w:p>
      <w:pPr>
        <w:pStyle w:val="ListBullet"/>
      </w:pPr>
      <w:r>
        <w:t>§ 14 BNotO — dejure.org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18.03.2026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