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13 — Finanzierung und Grundschuld, § 1191 BGB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22. März 2026</w:t>
      </w:r>
    </w:p>
    <w:p/>
    <w:p>
      <w:pPr>
        <w:pStyle w:val="Heading2"/>
      </w:pPr>
      <w:r>
        <w:rPr>
          <w:rFonts w:ascii="Times New Roman" w:hAnsi="Times New Roman"/>
        </w:rPr>
        <w:t>1. Finanzierungsstruktur</w:t>
      </w:r>
    </w:p>
    <w:p>
      <w:pPr>
        <w:jc w:val="left"/>
      </w:pPr>
      <w:r>
        <w:t>Die Mandanten Dr. Berthold Rosenmündl und Dr. Constanze Rosenmündl-Steinbacher finanzieren den Erwerb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 (verhandelter Stand)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4.650.000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Grunderwerbsteuer (5 %)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232.500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Notargebühren (ca.)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Grundbuchgebühren (ca.)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Maklercourtage Käufer (3,57 %/2)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83.025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Sachverständigengebühren (SV Habermeier + Oberholzer)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Gesamtkosten Erwerb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5.033.525</w:t>
            </w:r>
          </w:p>
        </w:tc>
      </w:tr>
    </w:tbl>
    <w:p>
      <w:pPr>
        <w:jc w:val="left"/>
      </w:pPr>
      <w:r>
        <w:rPr>
          <w:b/>
        </w:rPr>
        <w:t>Eigenkapital:</w:t>
      </w:r>
      <w:r>
        <w:t xml:space="preserve"> 1.800.000 EUR (davon 1.200.000 EUR aus Verkauf Eigentumswohnung Kanzleistraße 44 Stuttgart, vollzogen Feb. 2026; 600.000 EUR liquides Depot).</w:t>
      </w:r>
    </w:p>
    <w:p>
      <w:pPr>
        <w:jc w:val="left"/>
      </w:pPr>
      <w:r>
        <w:rPr>
          <w:b/>
        </w:rPr>
        <w:t>Finanzierungsbedarf:</w:t>
      </w:r>
      <w:r>
        <w:t xml:space="preserve"> 3.233.525 EUR.</w:t>
      </w:r>
    </w:p>
    <w:p>
      <w:pPr>
        <w:jc w:val="left"/>
      </w:pPr>
      <w:r>
        <w:t>Finanzierungsangebot: BW-Bank Stuttgart, Angebot vom 14.03.2026:</w:t>
      </w:r>
    </w:p>
    <w:p>
      <w:pPr>
        <w:pStyle w:val="ListBullet"/>
      </w:pPr>
      <w:r>
        <w:t>Darlehensbetrag: 3.250.000 EUR</w:t>
      </w:r>
    </w:p>
    <w:p>
      <w:pPr>
        <w:pStyle w:val="ListBullet"/>
      </w:pPr>
      <w:r>
        <w:t>Zinssatz: 3,85 % p.a. (10 Jahre Zinsbindung)</w:t>
      </w:r>
    </w:p>
    <w:p>
      <w:pPr>
        <w:pStyle w:val="ListBullet"/>
      </w:pPr>
      <w:r>
        <w:t>Tilgung: 2,0 % anfänglich</w:t>
      </w:r>
    </w:p>
    <w:p>
      <w:pPr>
        <w:pStyle w:val="ListBullet"/>
      </w:pPr>
      <w:r>
        <w:t>Monatliche Rate: 24.687 EUR</w:t>
      </w:r>
    </w:p>
    <w:p>
      <w:pPr>
        <w:pStyle w:val="ListBullet"/>
      </w:pPr>
      <w:r>
        <w:t>Grundschuld: 3.300.000 EUR (10 % Aufschlag auf Darlehensbetrag, banküblich)</w:t>
      </w:r>
    </w:p>
    <w:p/>
    <w:p>
      <w:pPr>
        <w:pStyle w:val="Heading2"/>
      </w:pPr>
      <w:r>
        <w:rPr>
          <w:rFonts w:ascii="Times New Roman" w:hAnsi="Times New Roman"/>
        </w:rPr>
        <w:t>2. Grundschuld (§ 1191 BGB)</w:t>
      </w:r>
    </w:p>
    <w:p>
      <w:pPr>
        <w:pStyle w:val="Heading3"/>
      </w:pPr>
      <w:r>
        <w:rPr>
          <w:rFonts w:ascii="Times New Roman" w:hAnsi="Times New Roman"/>
        </w:rPr>
        <w:t>Rechtsnatur</w:t>
      </w:r>
    </w:p>
    <w:p>
      <w:pPr>
        <w:jc w:val="left"/>
      </w:pPr>
      <w:r>
        <w:t>Die Grundschuld nach § 1191 BGB ist — anders als die Hypothek (§ 1113 BGB) — nicht akzessorisch; sie ist eine selbstständige, vom Bestand der gesicherten Forderung unabhängige Belastung des Grundstücks. In der Praxis ist die Grundschuld das wichtigste Grundpfandrecht zur Kreditsicherung.</w:t>
      </w:r>
    </w:p>
    <w:p>
      <w:pPr>
        <w:jc w:val="left"/>
      </w:pPr>
      <w:r>
        <w:t>Quelle: § 1191 BGB — dejure.org.</w:t>
      </w:r>
    </w:p>
    <w:p>
      <w:pPr>
        <w:jc w:val="left"/>
      </w:pPr>
      <w:r>
        <w:t xml:space="preserve">Die BW-Bank verlangt eine </w:t>
      </w:r>
      <w:r>
        <w:rPr>
          <w:b/>
        </w:rPr>
        <w:t>Buchgrundschuld</w:t>
      </w:r>
      <w:r>
        <w:t xml:space="preserve"> (keine Briefgrundschuld), die im Grundbuch Abt. III einzutragen ist. Zugleich wird eine sog. </w:t>
      </w:r>
      <w:r>
        <w:rPr>
          <w:b/>
        </w:rPr>
        <w:t>Zweckerklärung/Sicherungsabrede</w:t>
      </w:r>
      <w:r>
        <w:t xml:space="preserve"> (schuldrechtliche Seite) unterzeichnet, die die Grundschuld mit dem Darlehensvertrag verknüpft.</w:t>
      </w:r>
    </w:p>
    <w:p>
      <w:pPr>
        <w:pStyle w:val="Heading3"/>
      </w:pPr>
      <w:r>
        <w:rPr>
          <w:rFonts w:ascii="Times New Roman" w:hAnsi="Times New Roman"/>
        </w:rPr>
        <w:t>Rangfragen</w:t>
      </w:r>
    </w:p>
    <w:p>
      <w:pPr>
        <w:jc w:val="left"/>
      </w:pPr>
      <w:r>
        <w:t>Nach Löschung der Altgrundschulden (LBBW 1.200.000 EUR und Deutsche Bank 800.000 EUR) steht dem BW-Bank-Pfandrecht der erste Rang frei. Rangvermerke sind im Kaufvertrag entsprechend zu koordinieren (§ 879 BGB).</w:t>
      </w:r>
    </w:p>
    <w:p>
      <w:pPr>
        <w:jc w:val="left"/>
      </w:pPr>
      <w:r>
        <w:t>Quelle: § 879 BGB — dejure.org.</w:t>
      </w:r>
    </w:p>
    <w:p>
      <w:pPr>
        <w:pStyle w:val="Heading3"/>
      </w:pPr>
      <w:r>
        <w:rPr>
          <w:rFonts w:ascii="Times New Roman" w:hAnsi="Times New Roman"/>
        </w:rPr>
        <w:t>Notarielles Vollstreckungsunterwerfung</w:t>
      </w:r>
    </w:p>
    <w:p>
      <w:pPr>
        <w:jc w:val="left"/>
      </w:pPr>
      <w:r>
        <w:t>Üblich ist eine notarielle Unterwerfung unter die sofortige Zwangsvollstreckung gem. § 800 ZPO in Höhe des Grundschuldbetrags. Die BW-Bank verlangt dies als Bedingung für die Auszahlung.</w:t>
      </w:r>
    </w:p>
    <w:p>
      <w:pPr>
        <w:jc w:val="left"/>
      </w:pPr>
      <w:r>
        <w:t>Quelle: § 800 ZPO — dejure.org.</w:t>
      </w:r>
    </w:p>
    <w:p/>
    <w:p>
      <w:pPr>
        <w:pStyle w:val="Heading2"/>
      </w:pPr>
      <w:r>
        <w:rPr>
          <w:rFonts w:ascii="Times New Roman" w:hAnsi="Times New Roman"/>
        </w:rPr>
        <w:t>3. Besonderheiten bei Denkmalschutzimmobilien</w:t>
      </w:r>
    </w:p>
    <w:p>
      <w:pPr>
        <w:jc w:val="left"/>
      </w:pPr>
      <w:r>
        <w:t xml:space="preserve">Die BW-Bank hat signalisiert, dass sie für die Denkmalschutz-Teilstellung einen </w:t>
      </w:r>
      <w:r>
        <w:rPr>
          <w:b/>
        </w:rPr>
        <w:t>Denkmalschutz-Zinszuschuss</w:t>
      </w:r>
      <w:r>
        <w:t xml:space="preserve"> der KfW prüft. KfW-Programm 151/152 (Energieeffizient Sanieren) ist grundsätzlich kombinierfähig, allerdings setzt es konkrete Sanierungsmaßnahmen voraus. Für das laufende Mandat noch nicht entschieden.</w:t>
      </w:r>
    </w:p>
    <w:p/>
    <w:p>
      <w:pPr>
        <w:pStyle w:val="Heading2"/>
      </w:pPr>
      <w:r>
        <w:rPr>
          <w:rFonts w:ascii="Times New Roman" w:hAnsi="Times New Roman"/>
        </w:rPr>
        <w:t>4. Mietertrag und Schuldendienst-Deckung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Mieteinnahmen netto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Jahreszinslast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Tilgung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Netto-Cash-Flow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2026 (anteilig, ab Jun.)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33.600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62.562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32.500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-61.462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57.600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125.125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-132.525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2028 (nach Sanierung +15 %)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66.240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124.000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-122.760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Langfristig (ab 2030)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78.000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117.000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-104.000</w:t>
            </w:r>
          </w:p>
        </w:tc>
      </w:tr>
    </w:tbl>
    <w:p>
      <w:pPr>
        <w:jc w:val="left"/>
      </w:pPr>
      <w:r>
        <w:t>Hinweis: Mieteinnahmen aktuell ca. 4.800 EUR/Monat = 57.600 EUR/Jahr. Schuldendienst inkl. Tilgung: ca. 296.244 EUR/Jahr. Unterdeckung anfänglich ca. 238.644 EUR/Jahr — deckt sich jedoch mit Steuerabsetzungen und Abschreibungen (AfA, § 7 EStG; § 7i EStG für Denkmalschutz-Anteil).</w:t>
      </w:r>
    </w:p>
    <w:p/>
    <w:p>
      <w:pPr>
        <w:pStyle w:val="Heading2"/>
      </w:pPr>
      <w:r>
        <w:rPr>
          <w:rFonts w:ascii="Times New Roman" w:hAnsi="Times New Roman"/>
        </w:rPr>
        <w:t>5. GwG-Meldepflicht (vgl. Aktenstück 16)</w:t>
      </w:r>
    </w:p>
    <w:p>
      <w:pPr>
        <w:jc w:val="left"/>
      </w:pPr>
      <w:r>
        <w:t>Notar Schwingenstein hat zu prüfen, ob die Finanzierungsstruktur und Eigenkapitalherkunft GwG-konform sind (§ 2 Nr. 10 GwG: Notare als Verpflichtete). Vgl. Aktenstück 16.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1191 BGB — dejure.org</w:t>
      </w:r>
    </w:p>
    <w:p>
      <w:pPr>
        <w:pStyle w:val="ListBullet"/>
      </w:pPr>
      <w:r>
        <w:t>§ 1113 BGB — dejure.org</w:t>
      </w:r>
    </w:p>
    <w:p>
      <w:pPr>
        <w:pStyle w:val="ListBullet"/>
      </w:pPr>
      <w:r>
        <w:t>§ 879 BGB — dejure.org</w:t>
      </w:r>
    </w:p>
    <w:p>
      <w:pPr>
        <w:pStyle w:val="ListBullet"/>
      </w:pPr>
      <w:r>
        <w:t>§ 800 ZPO — dejure.org</w:t>
      </w:r>
    </w:p>
    <w:p>
      <w:pPr>
        <w:pStyle w:val="ListBullet"/>
      </w:pPr>
      <w:r>
        <w:t>§ 7 EStG — dejure.org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22.03.2026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