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14 — Vermessungsamt, Grenzfeststellung</w:t>
      </w:r>
    </w:p>
    <w:p>
      <w:pPr>
        <w:jc w:val="left"/>
      </w:pPr>
      <w:r>
        <w:rPr>
          <w:b/>
        </w:rPr>
        <w:t>Aktenzeichen: SW/2026/0188-IMM</w:t>
      </w:r>
    </w:p>
    <w:p>
      <w:pPr>
        <w:jc w:val="left"/>
      </w:pPr>
      <w:r>
        <w:t>Stand: 28. März 2026</w:t>
      </w:r>
    </w:p>
    <w:p/>
    <w:p>
      <w:pPr>
        <w:pStyle w:val="Heading2"/>
      </w:pPr>
      <w:r>
        <w:rPr>
          <w:rFonts w:ascii="Times New Roman" w:hAnsi="Times New Roman"/>
        </w:rPr>
        <w:t>1. Anlass</w:t>
      </w:r>
    </w:p>
    <w:p>
      <w:pPr>
        <w:jc w:val="left"/>
      </w:pPr>
      <w:r>
        <w:t>Im Rahmen der Überprüfung der Baulastfläche (Aktenstück 03 — Geh- und Fahrrechtsbaulast zugunsten Talstraße 186) ergab sich die Notwendigkeit einer exakten Grenzfeststellung zwischen den Grundstücken Talstraße 186 (Flurstück 4/87) und Talstraße 188 (Flurstück 4/88).</w:t>
      </w:r>
    </w:p>
    <w:p>
      <w:pPr>
        <w:jc w:val="left"/>
      </w:pPr>
      <w:r>
        <w:t>Auftrag an das Stadtmessungsamt Stuttgart: Grenzfeststellung und Grenzzeugnis vom 20.03.2026 (Auftragsnummer VES-2026-0412).</w:t>
      </w:r>
    </w:p>
    <w:p/>
    <w:p>
      <w:pPr>
        <w:pStyle w:val="Heading2"/>
      </w:pPr>
      <w:r>
        <w:rPr>
          <w:rFonts w:ascii="Times New Roman" w:hAnsi="Times New Roman"/>
        </w:rPr>
        <w:t>2. Ergebnis Grenzfeststellung</w:t>
      </w:r>
    </w:p>
    <w:p>
      <w:pPr>
        <w:jc w:val="left"/>
      </w:pPr>
      <w:r>
        <w:rPr>
          <w:b/>
        </w:rPr>
        <w:t>Ergebnis Grenzfeststellung</w:t>
      </w:r>
      <w:r>
        <w:t xml:space="preserve"> (Stadtmessungsamt Stuttgart, Vermessungsingenieur Ralf Stockmeier, 26.03.2026):</w:t>
      </w:r>
    </w:p>
    <w:p>
      <w:pPr>
        <w:jc w:val="left"/>
      </w:pPr>
      <w:r>
        <w:t xml:space="preserve">Die tatsächliche Grundstücksgrenze weicht von der Liegenschaftskarte (Darstellung 1:1000) um ca. </w:t>
      </w:r>
      <w:r>
        <w:rPr>
          <w:b/>
        </w:rPr>
        <w:t>38 cm nach Nordosten</w:t>
      </w:r>
      <w:r>
        <w:t xml:space="preserve"> ab. Der Grenzverlauf entlang der Baulastfläche (4,5 m × 22 m) verläuft leicht schräg.</w:t>
      </w:r>
    </w:p>
    <w:p>
      <w:pPr>
        <w:jc w:val="left"/>
      </w:pPr>
      <w:r>
        <w:t>Praktische Konsequenz: Die tatsächlich für die Zufahrt Talstraße 186 genutzte Fläche beträgt ca. 102 m² (statt der im Baulastenverzeichnis genannten 99 m²). Drei zusätzliche Quadratmeter liegen auf dem Grundstück Talstraße 188.</w:t>
      </w:r>
    </w:p>
    <w:p>
      <w:pPr>
        <w:jc w:val="left"/>
      </w:pPr>
      <w:r>
        <w:rPr>
          <w:b/>
        </w:rPr>
        <w:t>Grenzstein:</w:t>
      </w:r>
      <w:r>
        <w:t xml:space="preserve"> Grenzstein Nr. 48/B fehlt; ein provisorischer Pflock wurde gesetzt. Nacharbeiten durch das Stadtmessungsamt stehen aus (Termin: Mai 2026).</w:t>
      </w:r>
    </w:p>
    <w:p/>
    <w:p>
      <w:pPr>
        <w:pStyle w:val="Heading2"/>
      </w:pPr>
      <w:r>
        <w:rPr>
          <w:rFonts w:ascii="Times New Roman" w:hAnsi="Times New Roman"/>
        </w:rPr>
        <w:t>3. Rechtliche Einordnung</w:t>
      </w:r>
    </w:p>
    <w:p>
      <w:pPr>
        <w:pStyle w:val="Heading3"/>
      </w:pPr>
      <w:r>
        <w:rPr>
          <w:rFonts w:ascii="Times New Roman" w:hAnsi="Times New Roman"/>
        </w:rPr>
        <w:t>Grenzfeststellung und Grundbuch</w:t>
      </w:r>
    </w:p>
    <w:p>
      <w:pPr>
        <w:jc w:val="left"/>
      </w:pPr>
      <w:r>
        <w:t>Die Grenzfeststellung ist ein amtlicher Akt des öffentlichen Liegenschaftskatasters (§ 14 LVermGBW — Landesvermessungsgesetz BW). Sie begründet keine eigentumsrechtliche Verschiebung, stellt aber klar, wo die Eigentumsgrenze rechtlich verläuft.</w:t>
      </w:r>
    </w:p>
    <w:p>
      <w:pPr>
        <w:jc w:val="left"/>
      </w:pPr>
      <w:r>
        <w:t>Das Grundbuch weist Eigentum am Flurstück 4/88 aus; die tatsächliche Nutzungsgrenze (Baulastfläche) ist unabhängig davon.</w:t>
      </w:r>
    </w:p>
    <w:p>
      <w:pPr>
        <w:pStyle w:val="Heading3"/>
      </w:pPr>
      <w:r>
        <w:rPr>
          <w:rFonts w:ascii="Times New Roman" w:hAnsi="Times New Roman"/>
        </w:rPr>
        <w:t>Grenzüberschreitung</w:t>
      </w:r>
    </w:p>
    <w:p>
      <w:pPr>
        <w:jc w:val="left"/>
      </w:pPr>
      <w:r>
        <w:t>Sollte der Zaun des Nachbargrundstücks Talstraße 186 auf das Grundstück 4/88 hineinragen (was SV Habermeier bei der Begehung notiert hat: Maschendrahtzaun ca. 15 cm auf Flurstück 4/88), entsteht ein Überbau nach § 912 BGB.</w:t>
      </w:r>
    </w:p>
    <w:p>
      <w:pPr>
        <w:jc w:val="left"/>
      </w:pPr>
      <w:r>
        <w:t>Quelle: § 912 BGB — dejure.org.</w:t>
      </w:r>
    </w:p>
    <w:p>
      <w:pPr>
        <w:jc w:val="left"/>
      </w:pPr>
      <w:r>
        <w:t>§ 912 BGB: Hat der Eigentümer eines Grundstücks beim Bau eines Gebäudes über die Grenze gebaut, ohne dass ihm Vorsatz oder grobe Fahrlässigkeit zur Last fällt, so hat der Nachbar den Überbau zu dulden, es sei denn, dass er vor oder sogleich nach der Überschreitung Widerspruch erhoben hat. Der Nachbar ist mit einer Geldrente zu entschädigen.</w:t>
      </w:r>
    </w:p>
    <w:p>
      <w:pPr>
        <w:jc w:val="left"/>
      </w:pPr>
      <w:r>
        <w:t>Im vorliegenden Fall handelt es sich nicht um ein Gebäude, sondern um einen Zaun. § 912 BGB findet keine direkte Anwendung; Anspruch auf Beseitigung nach § 1004 BGB. Empfehlung: Zaun-Beseitigung nach Eigentumsübergang freundlich einfordern.</w:t>
      </w:r>
    </w:p>
    <w:p/>
    <w:p>
      <w:pPr>
        <w:pStyle w:val="Heading2"/>
      </w:pPr>
      <w:r>
        <w:rPr>
          <w:rFonts w:ascii="Times New Roman" w:hAnsi="Times New Roman"/>
        </w:rPr>
        <w:t>4. Flächenkorrektur und Kaufpreisauswirkung</w:t>
      </w:r>
    </w:p>
    <w:p>
      <w:pPr>
        <w:jc w:val="left"/>
      </w:pPr>
      <w:r>
        <w:t>Die Abweichung von 3 m² ist bei einem Bodenrichtwert von 1.400 EUR/m² mit ca. 4.200 EUR (× Bebauungsfaktor) gering; keine kaufpreisrelevante Änderung.</w:t>
      </w:r>
    </w:p>
    <w:p>
      <w:pPr>
        <w:jc w:val="left"/>
      </w:pPr>
      <w:r>
        <w:t>Allerdings ist die Grenzfeststellung für die Einzeichnung der Baulastfläche im Lageplan relevant; der Kaufvertrag sollte auf das aktualisierte Lageplan-Dokument (Stadtmessungsamt, 26.03.2026) verweisen.</w:t>
      </w:r>
    </w:p>
    <w:p/>
    <w:p>
      <w:pPr>
        <w:pStyle w:val="Heading2"/>
      </w:pPr>
      <w:r>
        <w:rPr>
          <w:rFonts w:ascii="Times New Roman" w:hAnsi="Times New Roman"/>
        </w:rPr>
        <w:t>5. Nächste Schritte</w:t>
      </w:r>
    </w:p>
    <w:p>
      <w:pPr>
        <w:pStyle w:val="ListBullet"/>
      </w:pPr>
      <w:r>
        <w:t>[ ] Aktualisierten Lageplan in Kaufvertrag-Anlage aufnehmen.</w:t>
      </w:r>
    </w:p>
    <w:p>
      <w:pPr>
        <w:pStyle w:val="ListBullet"/>
      </w:pPr>
      <w:r>
        <w:t>[ ] Grenzstein-Setzung Mai 2026 abwarten; danach amtliches Grenzzeugnis anfordern.</w:t>
      </w:r>
    </w:p>
    <w:p>
      <w:pPr>
        <w:pStyle w:val="ListBullet"/>
      </w:pPr>
      <w:r>
        <w:t>[ ] Zaun-Thema schriftlich an Eigentümer Talstraße 186 (Frau Helga Brandt-Scheer) kommunizieren.</w:t>
      </w:r>
    </w:p>
    <w:p/>
    <w:p>
      <w:pPr>
        <w:pStyle w:val="Heading2"/>
      </w:pPr>
      <w:r>
        <w:rPr>
          <w:rFonts w:ascii="Times New Roman" w:hAnsi="Times New Roman"/>
        </w:rPr>
        <w:t>Quellen</w:t>
      </w:r>
    </w:p>
    <w:p>
      <w:pPr>
        <w:pStyle w:val="ListBullet"/>
      </w:pPr>
      <w:r>
        <w:t>§ 912 BGB — dejure.org</w:t>
      </w:r>
    </w:p>
    <w:p>
      <w:pPr>
        <w:pStyle w:val="ListBullet"/>
      </w:pPr>
      <w:r>
        <w:t>§ 1004 BGB — dejure.org</w:t>
      </w:r>
    </w:p>
    <w:p>
      <w:pPr>
        <w:pStyle w:val="ListBullet"/>
      </w:pPr>
      <w:r>
        <w:t>LVermGBW — Landesvermessungsgesetz Baden-Württemberg</w:t>
      </w:r>
    </w:p>
    <w:p/>
    <w:p>
      <w:pPr>
        <w:jc w:val="left"/>
      </w:pPr>
      <w:r>
        <w:rPr>
          <w:i/>
        </w:rPr>
        <w:t>Bearbeiter: RA/Notar Dr. Bertram Schwingenstein</w:t>
      </w:r>
    </w:p>
    <w:p>
      <w:pPr>
        <w:jc w:val="left"/>
      </w:pPr>
      <w:r>
        <w:rPr>
          <w:i/>
        </w:rPr>
        <w:t>Datum: 28.03.2026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