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Grundbuchamt, Eintragung, Widerspruch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02. April 2026</w:t>
      </w:r>
    </w:p>
    <w:p/>
    <w:p>
      <w:pPr>
        <w:pStyle w:val="Heading2"/>
      </w:pPr>
      <w:r>
        <w:rPr>
          <w:rFonts w:ascii="Times New Roman" w:hAnsi="Times New Roman"/>
        </w:rPr>
        <w:t>1. Eintragungsablauf</w:t>
      </w:r>
    </w:p>
    <w:p>
      <w:pPr>
        <w:jc w:val="left"/>
      </w:pPr>
      <w:r>
        <w:t>Die Eigentumsumschreibung eines Grundstücks auf neue Erwerber vollzieht sich beim Grundbuchamt nach §§ 873 ff. BGB i.V.m. §§ 13 ff. GBO in folgenden Schritten:</w:t>
      </w:r>
    </w:p>
    <w:p>
      <w:pPr>
        <w:pStyle w:val="ListNumber"/>
      </w:pPr>
      <w:r>
        <w:t>Auflassung (§ 925 BGB) — Einigung über Eigentumsübergang vor Notar.</w:t>
      </w:r>
    </w:p>
    <w:p>
      <w:pPr>
        <w:pStyle w:val="ListNumber"/>
      </w:pPr>
      <w:r>
        <w:t>Eigentumsumschreibungsantrag beim Grundbuchamt (§ 13 GBO) durch Notar.</w:t>
      </w:r>
    </w:p>
    <w:p>
      <w:pPr>
        <w:pStyle w:val="ListNumber"/>
      </w:pPr>
      <w:r>
        <w:t>Unbedenklichkeitsbescheinigung des Finanzamts (§ 22 GrEStG) — nach Zahlung der Grunderwerbsteuer.</w:t>
      </w:r>
    </w:p>
    <w:p>
      <w:pPr>
        <w:pStyle w:val="ListNumber"/>
      </w:pPr>
      <w:r>
        <w:t>Eintragung im Grundbuch Abt. I, Löschung/Umschreibung Abt. III (Grundschulden).</w:t>
      </w:r>
    </w:p>
    <w:p>
      <w:pPr>
        <w:jc w:val="left"/>
      </w:pPr>
      <w:r>
        <w:t>Quelle: § 873 BGB — dejure.org; § 925 BGB — dejure.org; § 13 GBO — dejure.org.</w:t>
      </w:r>
    </w:p>
    <w:p/>
    <w:p>
      <w:pPr>
        <w:pStyle w:val="Heading2"/>
      </w:pPr>
      <w:r>
        <w:rPr>
          <w:rFonts w:ascii="Times New Roman" w:hAnsi="Times New Roman"/>
        </w:rPr>
        <w:t>2. Widerspruch Katharina Hellmann-Faber</w:t>
      </w:r>
    </w:p>
    <w:p>
      <w:pPr>
        <w:jc w:val="left"/>
      </w:pPr>
      <w:r>
        <w:t xml:space="preserve">Mit Schreiben ihres Anwalts (RA Götz &amp; Schuster, Hamburg) vom 29.03.2026 hat Katharina Hellmann-Faber beim </w:t>
      </w:r>
      <w:r>
        <w:rPr>
          <w:b/>
        </w:rPr>
        <w:t>Grundbuchamt Stuttgart</w:t>
      </w:r>
      <w:r>
        <w:t xml:space="preserve"> einen </w:t>
      </w:r>
      <w:r>
        <w:rPr>
          <w:b/>
        </w:rPr>
        <w:t>Widerspruch gegen eine etwaige Eigentumsumschreibung</w:t>
      </w:r>
      <w:r>
        <w:t xml:space="preserve"> eingetragen lassen (§ 899 BGB — vorläufige Sicherung des Anspruchs).</w:t>
      </w:r>
    </w:p>
    <w:p>
      <w:pPr>
        <w:jc w:val="left"/>
      </w:pPr>
      <w:r>
        <w:t>Quelle: § 899 BGB — dejure.org.</w:t>
      </w:r>
    </w:p>
    <w:p>
      <w:pPr>
        <w:jc w:val="left"/>
      </w:pPr>
      <w:r>
        <w:t>Die Eintragung des Widerspruchs (Grundbuch Abt. II, lfd. Nr. XX/2026) sichert ihren Anspruch auf Beteiligung am Veräußerungserlös und verhindert, dass eine Eintragung der Käufer ohne ihr Wissen und Einverständnis vorgenommen wird.</w:t>
      </w:r>
    </w:p>
    <w:p>
      <w:pPr>
        <w:jc w:val="left"/>
      </w:pPr>
      <w:r>
        <w:rPr>
          <w:b/>
        </w:rPr>
        <w:t>Inhalt des Widerspruchs:</w:t>
      </w:r>
      <w:r>
        <w:t xml:space="preserve"> K.H.-F. macht geltend, dass der Kaufvertrag ohne ihre Vollmacht und damit unwirksam ist (§ 2040 BGB); die anderen Miterben seien nicht berechtigt, allein über das Nachlassgrundstück zu verfügen.</w:t>
      </w:r>
    </w:p>
    <w:p/>
    <w:p>
      <w:pPr>
        <w:pStyle w:val="Heading2"/>
      </w:pPr>
      <w:r>
        <w:rPr>
          <w:rFonts w:ascii="Times New Roman" w:hAnsi="Times New Roman"/>
        </w:rPr>
        <w:t>3. Rechtliche Bewertung des Widerspruchs</w:t>
      </w:r>
    </w:p>
    <w:p>
      <w:pPr>
        <w:pStyle w:val="Heading3"/>
      </w:pPr>
      <w:r>
        <w:rPr>
          <w:rFonts w:ascii="Times New Roman" w:hAnsi="Times New Roman"/>
        </w:rPr>
        <w:t>Zulässigkeit</w:t>
      </w:r>
    </w:p>
    <w:p>
      <w:pPr>
        <w:jc w:val="left"/>
      </w:pPr>
      <w:r>
        <w:t>§ 899 BGB erlaubt die Eintragung eines Widerspruchs, wenn der Anspruch auf Grundbuchberichtigung besteht oder zu entstehen droht. Der Antrag kann ohne gerichtliche Anordnung (§ 899 Abs. 2 BGB) oder mit einstweiliger Verfügung gestellt werden. Im vorliegenden Fall: Eintragung auf einstweilige Verfügung AG Stuttgart (Az. 14 C 0211/26), erlassen ohne Anhörung der Gegenseite (ex parte).</w:t>
      </w:r>
    </w:p>
    <w:p>
      <w:pPr>
        <w:pStyle w:val="Heading3"/>
      </w:pPr>
      <w:r>
        <w:rPr>
          <w:rFonts w:ascii="Times New Roman" w:hAnsi="Times New Roman"/>
        </w:rPr>
        <w:t>Auswirkungen auf den Kaufvertrag</w:t>
      </w:r>
    </w:p>
    <w:p>
      <w:pPr>
        <w:jc w:val="left"/>
      </w:pPr>
      <w:r>
        <w:t>Der Widerspruch hindert technisch nicht die Eintragung des neuen Eigentümers, aber er "schützt" K.H.-F.'s Position: Sollte eine Eintragung der Käufer unter Verstoß gegen § 2040 BGB erfolgen, wäre K.H.-F. durch den Widerspruch geschützt, da gutgläubiger Erwerb dann scheitert.</w:t>
      </w:r>
    </w:p>
    <w:p>
      <w:pPr>
        <w:jc w:val="left"/>
      </w:pPr>
      <w:r>
        <w:rPr>
          <w:b/>
        </w:rPr>
        <w:t>Konsequenz:</w:t>
      </w:r>
      <w:r>
        <w:t xml:space="preserve"> Kaufvertragsvollzug ist nicht möglich, solange der Widerspruch im Grundbuch steht und K.H.-F. nicht kooperiert oder rechtskräftig unterliegt.</w:t>
      </w:r>
    </w:p>
    <w:p/>
    <w:p>
      <w:pPr>
        <w:pStyle w:val="Heading2"/>
      </w:pPr>
      <w:r>
        <w:rPr>
          <w:rFonts w:ascii="Times New Roman" w:hAnsi="Times New Roman"/>
        </w:rPr>
        <w:t>4. Handlungsoptionen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Widerspruchslöschung beantragen (Einigung K.H.-F.)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Freiwillige Löschung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2–4 Wochen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auf Aufhebung einstw. Verfügung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924, 927 ZPO (Schutzschrift, Widerspruchsverhandlung)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4–8 Wochen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auf Zustimmung K.H.-F. zum Verkauf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 (ordentliche Klage)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6–18 Monate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via Erhöhung Kaufpreis / Abfindung K.H.-F.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4–6 Wochen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Vergleichsgespräch mit K.H.-F. bzw. deren Anwalt Götz &amp; Schuster aufnehmen. Alternativ: Antrag auf Aufhebung der einstweiligen Verfügung, da die Voraussetzungen (§ 899 BGB) fraglich erscheinen, wenn kein Anspruch auf GB-Berichtigung besteht (Erbengemeinschaft ist noch Eigentümerin, kein eintragungspflichtiger Fehler).</w:t>
      </w:r>
    </w:p>
    <w:p/>
    <w:p>
      <w:pPr>
        <w:pStyle w:val="Heading2"/>
      </w:pPr>
      <w:r>
        <w:rPr>
          <w:rFonts w:ascii="Times New Roman" w:hAnsi="Times New Roman"/>
        </w:rPr>
        <w:t>5. GBO-Verfahren: Beschleunigungsmöglichkeiten</w:t>
      </w:r>
    </w:p>
    <w:p>
      <w:pPr>
        <w:jc w:val="left"/>
      </w:pPr>
      <w:r>
        <w:t>Das Grundbuchamt Stuttgart hat eine Bearbeitungszeit von aktuell 4–6 Wochen für Eigentumsumschreibungen (erhöhtes Aufkommen durch Grundsteuerreform). Einreichung der vollständigen Unterlagen (Auflassung, GrESt-Unbedenklichkeitsbescheinigung, Löschungsbewilligungen) ist für Mai 2026 vorgesehen — sofern Widerspruchssituation gelöst.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873 BGB — dejure.org</w:t>
      </w:r>
    </w:p>
    <w:p>
      <w:pPr>
        <w:pStyle w:val="ListBullet"/>
      </w:pPr>
      <w:r>
        <w:t>§ 899 BGB — dejure.org</w:t>
      </w:r>
    </w:p>
    <w:p>
      <w:pPr>
        <w:pStyle w:val="ListBullet"/>
      </w:pPr>
      <w:r>
        <w:t>§ 925 BGB — dejure.org</w:t>
      </w:r>
    </w:p>
    <w:p>
      <w:pPr>
        <w:pStyle w:val="ListBullet"/>
      </w:pPr>
      <w:r>
        <w:t>§ 13 GBO — dejure.org</w:t>
      </w:r>
    </w:p>
    <w:p>
      <w:pPr>
        <w:pStyle w:val="ListBullet"/>
      </w:pPr>
      <w:r>
        <w:t>§§ 924, 927 ZPO — dejure.org</w:t>
      </w:r>
    </w:p>
    <w:p>
      <w:pPr>
        <w:pStyle w:val="ListBullet"/>
      </w:pPr>
      <w:r>
        <w:t>BGH, Beschl. v. 29.01.2015 — V ZB 125/14 — Widerspruch nach § 899 BGB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02.04.2026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