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16 — Geldwäsche-Prüfung, GwG § 2 Nr. 10, Kaufpreisherkunft</w:t>
      </w:r>
    </w:p>
    <w:p>
      <w:pPr>
        <w:jc w:val="left"/>
      </w:pPr>
      <w:r>
        <w:rPr>
          <w:b/>
        </w:rPr>
        <w:t>Aktenzeichen: SW/2026/0188-IMM</w:t>
      </w:r>
    </w:p>
    <w:p>
      <w:pPr>
        <w:jc w:val="left"/>
      </w:pPr>
      <w:r>
        <w:t>Stand: 06. April 2026</w:t>
      </w:r>
    </w:p>
    <w:p/>
    <w:p>
      <w:pPr>
        <w:pStyle w:val="Heading2"/>
      </w:pPr>
      <w:r>
        <w:rPr>
          <w:rFonts w:ascii="Times New Roman" w:hAnsi="Times New Roman"/>
        </w:rPr>
        <w:t>1. Rechtlicher Rahmen</w:t>
      </w:r>
    </w:p>
    <w:p>
      <w:pPr>
        <w:jc w:val="left"/>
      </w:pPr>
      <w:r>
        <w:t xml:space="preserve">Notare sind nach § 2 Abs. 1 Nr. 10 GwG (Geldwäschegesetz) Verpflichtete im Sinne des Geldwäscherechts. Bei Grundstückskaufverträgen sind sie verpflichtet, eine </w:t>
      </w:r>
      <w:r>
        <w:rPr>
          <w:b/>
        </w:rPr>
        <w:t>Risikoanalyse</w:t>
      </w:r>
      <w:r>
        <w:t xml:space="preserve"> durchzuführen und bei Vorliegen bestimmter Indikatoren eine Meldung an die Financial Intelligence Unit (FIU) nach § 43 GwG zu erstatten.</w:t>
      </w:r>
    </w:p>
    <w:p>
      <w:pPr>
        <w:jc w:val="left"/>
      </w:pPr>
      <w:r>
        <w:t>Quelle: § 2 GwG — dejure.org; § 43 GwG — dejure.org.</w:t>
      </w:r>
    </w:p>
    <w:p/>
    <w:p>
      <w:pPr>
        <w:pStyle w:val="Heading2"/>
      </w:pPr>
      <w:r>
        <w:rPr>
          <w:rFonts w:ascii="Times New Roman" w:hAnsi="Times New Roman"/>
        </w:rPr>
        <w:t>2. Identifizierung und Sorgfaltspflichten (§§ 10 ff. GwG)</w:t>
      </w:r>
    </w:p>
    <w:p>
      <w:pPr>
        <w:jc w:val="left"/>
      </w:pPr>
      <w:r>
        <w:t>Notar Schwingenstein (als amtlich Verpflichteter) hat folgende Maßnahmen zur Erfüllung der verstärkten Sorgfaltspflichten nach §§ 10, 15 GwG durchgeführt:</w:t>
      </w:r>
    </w:p>
    <w:p>
      <w:pPr>
        <w:pStyle w:val="Heading3"/>
      </w:pPr>
      <w:r>
        <w:rPr>
          <w:rFonts w:ascii="Times New Roman" w:hAnsi="Times New Roman"/>
        </w:rPr>
        <w:t>a) Identifizierung der Vertragsparteien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Partei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Berthold Rosenmündl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Personalausweis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12.01.2026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Constanze Rosenmündl-Steinbacher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Personalausweis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12.01.2026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Hildegard Hellmann-Vogt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Personalausweis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Marcus Hellmann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Personalausweis + Vollmacht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Stiftung Kulturerbe Stuttgart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Vertretungsbescheinigung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Katharina Hellmann-Faber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Noch ausstehend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b) Wirtschaftlich Berechtigte (§ 3 GwG)</w:t>
      </w:r>
    </w:p>
    <w:p>
      <w:pPr>
        <w:jc w:val="left"/>
      </w:pPr>
      <w:r>
        <w:t>Bei der Erbengemeinschaft: wirtschaftlich Berechtigte sind die vier natürlichen Miterben (Hellmann-Vogt, Marcus Hellmann, Hellmann-Faber, Stiftung). Bei der Stiftung: wirtschaftlich Berechtigter ist formal der Stiftungsvorstand; geprüft (Stiftungsregister BW).</w:t>
      </w:r>
    </w:p>
    <w:p>
      <w:pPr>
        <w:jc w:val="left"/>
      </w:pPr>
      <w:r>
        <w:t>Bei Käufern: Dr. Berthold Rosenmündl und Dr. Constanze Rosenmündl-Steinbacher handeln im eigenen Namen; keine abweichenden wirtschaftlich Berechtigten.</w:t>
      </w:r>
    </w:p>
    <w:p/>
    <w:p>
      <w:pPr>
        <w:pStyle w:val="Heading2"/>
      </w:pPr>
      <w:r>
        <w:rPr>
          <w:rFonts w:ascii="Times New Roman" w:hAnsi="Times New Roman"/>
        </w:rPr>
        <w:t>3. Kaufpreisherkunft</w:t>
      </w:r>
    </w:p>
    <w:p>
      <w:pPr>
        <w:jc w:val="left"/>
      </w:pPr>
      <w:r>
        <w:t xml:space="preserve">Dr. Berthold Rosenmündl hat auf Anfrage des Notars eine </w:t>
      </w:r>
      <w:r>
        <w:rPr>
          <w:b/>
        </w:rPr>
        <w:t>Eigenkapital-Nachweis-Bescheinigung</w:t>
      </w:r>
      <w:r>
        <w:t xml:space="preserve"> der BW-Bank (18.03.2026) und folgende Dokumente eingereicht: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Nachweis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Verkauf ETW Kanzleistraße 44, Stuttgart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Kaufvertrag + Grundbuchauszug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Wertpapierdepot (Depot Nr. 12334xxx)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Depotauszug BW-Bank 31.12.2025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Tagesgeldkonto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Kontoauszug Jan.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Eigenkapital 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1.800.000</w:t>
            </w:r>
          </w:p>
        </w:tc>
        <w:tc>
          <w:tcPr>
            <w:tcW w:type="dxa" w:w="3024"/>
          </w:tcPr>
          <w:p/>
        </w:tc>
      </w:tr>
    </w:tbl>
    <w:p>
      <w:pPr>
        <w:jc w:val="left"/>
      </w:pPr>
      <w:r>
        <w:t>Fremdkapital: 3.250.000 EUR Bankdarlehen BW-Bank (vgl. Aktenstück 13) — kein Bargeld, keine Kryptowährungen, kein Transfer aus Drittstaaten.</w:t>
      </w:r>
    </w:p>
    <w:p/>
    <w:p>
      <w:pPr>
        <w:pStyle w:val="Heading2"/>
      </w:pPr>
      <w:r>
        <w:rPr>
          <w:rFonts w:ascii="Times New Roman" w:hAnsi="Times New Roman"/>
        </w:rPr>
        <w:t>4. Risikoanalyse und Ergebnis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Risikoindikator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Ausprägung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Kaufpreishöhe (&gt; 2 Mio.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4,65 Mio.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Erhöhtes Augenmerk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Bargeldzahlung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Staatsangehörigkeit / Domizil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DE/DE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erhöhtes 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PEP-Status (politisch exponiert)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(beide Mandanten)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Kaufpreis &lt; Marktwert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Leicht reduziert (4,65 statt 4,8 Mio.)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auffällig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Treuhänder / Mittelsmann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Dritter erkennbar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Erbengemeinschaft als Verkäufer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Nachlass-Situation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Erhöhtes Augenmerk, aber plausibel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Eigenkapitalherkunft ungeklärt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— alle Nachweise erbracht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Risiko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Keine verdachtsbegründenden Tatsachen nach § 43 GwG; </w:t>
      </w:r>
      <w:r>
        <w:rPr>
          <w:b/>
        </w:rPr>
        <w:t>keine FIU-Meldung erforderlich</w:t>
      </w:r>
      <w:r>
        <w:t>. Dokumentation der Risikoanalyse in der Notarakte (§ 8 GwG — Aufzeichnungspflicht, 5 Jahre aufzubewahren).</w:t>
      </w:r>
    </w:p>
    <w:p/>
    <w:p>
      <w:pPr>
        <w:pStyle w:val="Heading2"/>
      </w:pPr>
      <w:r>
        <w:rPr>
          <w:rFonts w:ascii="Times New Roman" w:hAnsi="Times New Roman"/>
        </w:rPr>
        <w:t>5. Besonderheiten Erbengemeinschaft als Verkäufer</w:t>
      </w:r>
    </w:p>
    <w:p>
      <w:pPr>
        <w:jc w:val="left"/>
      </w:pPr>
      <w:r>
        <w:t>Bei Erbengemeinschaften prüft der Notar, ob der Nachlass aus einem in der Geldwäsche-Risikoliste des Bundesfinanzministeriums gelisteten Land stammt oder ob Hinweise auf kriminellen Ursprung bestehen. Hier: Inländischer Erbfall, Nachlass ausschließlich aus legalen Immobilien- und Renteneinkünften (bestätigt durch Erbschaftsteuerbescheid des FA Stuttgart vom 20.01.2026). Kein erhöhtes Risiko.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2 GwG — dejure.org</w:t>
      </w:r>
    </w:p>
    <w:p>
      <w:pPr>
        <w:pStyle w:val="ListBullet"/>
      </w:pPr>
      <w:r>
        <w:t>§ 3 GwG — dejure.org</w:t>
      </w:r>
    </w:p>
    <w:p>
      <w:pPr>
        <w:pStyle w:val="ListBullet"/>
      </w:pPr>
      <w:r>
        <w:t>§ 8 GwG — dejure.org</w:t>
      </w:r>
    </w:p>
    <w:p>
      <w:pPr>
        <w:pStyle w:val="ListBullet"/>
      </w:pPr>
      <w:r>
        <w:t>§ 10 GwG — dejure.org</w:t>
      </w:r>
    </w:p>
    <w:p>
      <w:pPr>
        <w:pStyle w:val="ListBullet"/>
      </w:pPr>
      <w:r>
        <w:t>§ 15 GwG — dejure.org</w:t>
      </w:r>
    </w:p>
    <w:p>
      <w:pPr>
        <w:pStyle w:val="ListBullet"/>
      </w:pPr>
      <w:r>
        <w:t>§ 43 GwG — dejure.org</w:t>
      </w:r>
    </w:p>
    <w:p/>
    <w:p>
      <w:pPr>
        <w:jc w:val="left"/>
      </w:pPr>
      <w:r>
        <w:rPr>
          <w:i/>
        </w:rPr>
        <w:t>Bearbeiter: RA/Notar Dr. Bertram Schwingenstein</w:t>
      </w:r>
    </w:p>
    <w:p>
      <w:pPr>
        <w:jc w:val="left"/>
      </w:pPr>
      <w:r>
        <w:rPr>
          <w:i/>
        </w:rPr>
        <w:t>Datum: 06.04.2026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