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Klage LG Stuttgart, Az. 4 O 188/26, Minderungsklage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15. April 2026</w:t>
      </w:r>
    </w:p>
    <w:p/>
    <w:p>
      <w:pPr>
        <w:pStyle w:val="Heading2"/>
      </w:pPr>
      <w:r>
        <w:rPr>
          <w:rFonts w:ascii="Times New Roman" w:hAnsi="Times New Roman"/>
        </w:rPr>
        <w:t>1. Verfahrenshintergrund</w:t>
      </w:r>
    </w:p>
    <w:p>
      <w:pPr>
        <w:jc w:val="left"/>
      </w:pPr>
      <w:r>
        <w:t>Nachdem der Kaufvertrag am 22.04.2026 (nach Rückzug des Widerspruchs K.H.-F. gegen Abfindung von 95.000 EUR aus dem Kaufpreis) doch beurkundet und vollzogen wurde, erhoben die Mandanten am 28.04.2026 Klage beim Landgericht Stuttgart auf Minderung des Kaufpreises wegen der festgestellten Sachmängel.</w:t>
      </w:r>
    </w:p>
    <w:p>
      <w:pPr>
        <w:jc w:val="left"/>
      </w:pPr>
      <w:r>
        <w:t>Streitwert: 340.000 EUR (Bleirohre 126.500 EUR + Energieausweis-Mangel 180.000 EUR + anteilige Baulastfläche 33.500 EUR).</w:t>
      </w:r>
    </w:p>
    <w:p>
      <w:pPr>
        <w:jc w:val="left"/>
      </w:pPr>
      <w:r>
        <w:t xml:space="preserve">Az. LG Stuttgart: </w:t>
      </w:r>
      <w:r>
        <w:rPr>
          <w:b/>
        </w:rPr>
        <w:t>4 O 188/26</w:t>
      </w:r>
    </w:p>
    <w:p>
      <w:pPr>
        <w:jc w:val="left"/>
      </w:pPr>
      <w:r>
        <w:t>Zuständigkeit: LG Stuttgart nach §§ 23 Nr. 1 GVG (Streitwert &gt; 5.000 EUR), §§ 12, 17 ZPO (Wohnsitz Beklagte: Stuttgart).</w:t>
      </w:r>
    </w:p>
    <w:p/>
    <w:p>
      <w:pPr>
        <w:pStyle w:val="Heading2"/>
      </w:pPr>
      <w:r>
        <w:rPr>
          <w:rFonts w:ascii="Times New Roman" w:hAnsi="Times New Roman"/>
        </w:rPr>
        <w:t>2. Klageanträge</w:t>
      </w:r>
    </w:p>
    <w:p>
      <w:pPr>
        <w:jc w:val="left"/>
      </w:pPr>
      <w:r>
        <w:rPr>
          <w:b/>
        </w:rPr>
        <w:t>Hauptantrag:</w:t>
      </w:r>
    </w:p>
    <w:p>
      <w:pPr>
        <w:jc w:val="left"/>
      </w:pPr>
      <w:r>
        <w:t xml:space="preserve">Der Beklagten (Erbengemeinschaft, vertreten durch Miterben-Vollmacht) wird aufgegeben, an die Kläger (Dr. Berthold Rosenmündl und Dr. Constanze Rosenmündl-Steinbacher) einen Betrag von </w:t>
      </w:r>
      <w:r>
        <w:rPr>
          <w:b/>
        </w:rPr>
        <w:t>340.000 EUR</w:t>
      </w:r>
      <w:r>
        <w:t xml:space="preserve"> nebst Zinsen von 5 Prozentpunkten über dem Basiszinssatz seit Rechtshängigkeit zu zahlen, Zug um Zug gegen Verzicht auf weitergehende Mängelrechte.</w:t>
      </w:r>
    </w:p>
    <w:p>
      <w:pPr>
        <w:jc w:val="left"/>
      </w:pPr>
      <w:r>
        <w:rPr>
          <w:b/>
        </w:rPr>
        <w:t>Hilfsantrag:</w:t>
      </w:r>
    </w:p>
    <w:p>
      <w:pPr>
        <w:jc w:val="left"/>
      </w:pPr>
      <w:r>
        <w:t>Feststellung, dass der Kaufpreis auf 4.160.000 EUR gemindert ist.</w:t>
      </w:r>
    </w:p>
    <w:p/>
    <w:p>
      <w:pPr>
        <w:pStyle w:val="Heading2"/>
      </w:pPr>
      <w:r>
        <w:rPr>
          <w:rFonts w:ascii="Times New Roman" w:hAnsi="Times New Roman"/>
        </w:rPr>
        <w:t>3. Klagebegründung — Minderung § 441 BGB</w:t>
      </w:r>
    </w:p>
    <w:p>
      <w:pPr>
        <w:pStyle w:val="Heading3"/>
      </w:pPr>
      <w:r>
        <w:rPr>
          <w:rFonts w:ascii="Times New Roman" w:hAnsi="Times New Roman"/>
        </w:rPr>
        <w:t>a) Minderungsberechnung</w:t>
      </w:r>
    </w:p>
    <w:p>
      <w:pPr>
        <w:jc w:val="left"/>
      </w:pPr>
      <w:r>
        <w:t>Die Minderung nach § 441 Abs. 3 BGB berechnet sich nach dem Verhältnis des Werts der Sache ohne Mangel zum Wert der Sache mit Mangel:</w:t>
      </w:r>
    </w:p>
    <w:p>
      <w:pPr>
        <w:jc w:val="left"/>
      </w:pPr>
      <w:r>
        <w:t>Minderungsbetrag = Kaufpreis × (Mängelwert / Gesamtwert)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Wertminderung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Bleirohre (Sanierungskosten + Mietausfall)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126.500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Habermeier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Energieausweis (Klasse G statt 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Oberholzer + Habermeier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Baulast 99 m² Geh/Fahrrecht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Bodenrichtwert 1.400 × 99 × 0,24 (Faktor)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340.000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 xml:space="preserve">Vgl. </w:t>
      </w:r>
      <w:r>
        <w:t>xlsx/minderungsberechnung_par441_bgb.xlsx</w:t>
      </w:r>
      <w:r>
        <w:t>.</w:t>
      </w:r>
    </w:p>
    <w:p>
      <w:pPr>
        <w:jc w:val="left"/>
      </w:pPr>
      <w:r>
        <w:t>Quelle: § 441 BGB — dejure.org.</w:t>
      </w:r>
    </w:p>
    <w:p>
      <w:pPr>
        <w:pStyle w:val="Heading3"/>
      </w:pPr>
      <w:r>
        <w:rPr>
          <w:rFonts w:ascii="Times New Roman" w:hAnsi="Times New Roman"/>
        </w:rPr>
        <w:t>b) Arglist der Erbengemeinschaft</w:t>
      </w:r>
    </w:p>
    <w:p>
      <w:pPr>
        <w:jc w:val="left"/>
      </w:pPr>
      <w:r>
        <w:t>Zur Begründung des erweiterten Gewährleistungsrechts trotz vertraglichen Gewährleistungsausschlusses (§ 444 BGB) wird Arglist der Verkäuferseite dargelegt:</w:t>
      </w:r>
    </w:p>
    <w:p>
      <w:pPr>
        <w:pStyle w:val="ListBullet"/>
      </w:pPr>
      <w:r>
        <w:t>Baulast: Seit 1988 bekannt (Hellmann als Eigentümer ab 1991); keine plausible Unkenntnis.</w:t>
      </w:r>
    </w:p>
    <w:p>
      <w:pPr>
        <w:pStyle w:val="ListBullet"/>
      </w:pPr>
      <w:r>
        <w:t>Bleirohre: Revisionsklappen im Keller standen offen; Rohre sichtbar; Mitarbeiterin der Hausverwaltung Stöckach GmbH bestätigt in einer eidesstattlichen Erklärung (13.04.2026), dass Dr. Hellmann von den Bleileitungen gewusst hat.</w:t>
      </w:r>
    </w:p>
    <w:p>
      <w:pPr>
        <w:pStyle w:val="ListBullet"/>
      </w:pPr>
      <w:r>
        <w:t>Energieausweis: SV Frischmann hat auf ausdrückliche Bitte von Dr. Hellmann falsche Eingabewerte verwendet (Angabe der Mitarbeiterin Frischmann GmbH im Zeugengespräch).</w:t>
      </w:r>
    </w:p>
    <w:p>
      <w:pPr>
        <w:jc w:val="left"/>
      </w:pPr>
      <w:r>
        <w:t>Quelle: § 444 BGB — dejure.org.</w:t>
      </w:r>
    </w:p>
    <w:p/>
    <w:p>
      <w:pPr>
        <w:pStyle w:val="Heading2"/>
      </w:pPr>
      <w:r>
        <w:rPr>
          <w:rFonts w:ascii="Times New Roman" w:hAnsi="Times New Roman"/>
        </w:rPr>
        <w:t>4. 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Klageschrift beim LG Stuttgart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an Beklagten-Anwalt (RA Gärtner, Stuttgart)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Klageerwiderungsfrist (6 Wochen)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Güteverhandlung geplant (§ 278 ZPO)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Streitiger Termin (voraussichtlich Herbst 2026)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Rechtsschutz</w:t>
      </w:r>
    </w:p>
    <w:p>
      <w:pPr>
        <w:jc w:val="left"/>
      </w:pPr>
      <w:r>
        <w:t>Mandanten verfügen über eine Rechtsschutzversicherung (Roland Rechtsschutz) — Deckungsanfrage gestellt am 15.04.2026; Deckungszusage für Immobilienstreitigkeit ausstehend. Vgl. Aktenstück 19.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441 BGB — dejure.org</w:t>
      </w:r>
    </w:p>
    <w:p>
      <w:pPr>
        <w:pStyle w:val="ListBullet"/>
      </w:pPr>
      <w:r>
        <w:t>§ 444 BGB — dejure.org</w:t>
      </w:r>
    </w:p>
    <w:p>
      <w:pPr>
        <w:pStyle w:val="ListBullet"/>
      </w:pPr>
      <w:r>
        <w:t>§ 278 ZPO — dejure.org</w:t>
      </w:r>
    </w:p>
    <w:p>
      <w:pPr>
        <w:pStyle w:val="ListBullet"/>
      </w:pPr>
      <w:r>
        <w:t>§§ 23 ff. GVG — dejure.org</w:t>
      </w:r>
    </w:p>
    <w:p>
      <w:pPr>
        <w:pStyle w:val="ListBullet"/>
      </w:pPr>
      <w:r>
        <w:t>BGH, Urt. v. 12.04.2013 — V ZR 266/11 — Minderungsberechnung nach § 441 BGB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15.04.2026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