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19 — Rechtsschutzversicherung, Deckungskonflikt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20. April 2026</w:t>
      </w:r>
    </w:p>
    <w:p/>
    <w:p>
      <w:pPr>
        <w:pStyle w:val="Heading2"/>
      </w:pPr>
      <w:r>
        <w:rPr>
          <w:rFonts w:ascii="Times New Roman" w:hAnsi="Times New Roman"/>
        </w:rPr>
        <w:t>1. Rechtsschutzversicherung der Mandanten</w:t>
      </w:r>
    </w:p>
    <w:p>
      <w:pPr>
        <w:jc w:val="left"/>
      </w:pPr>
      <w:r>
        <w:t xml:space="preserve">Die Mandanten unterhalten seit 01.03.2020 eine umfassende Rechtsschutzversicherung bei der </w:t>
      </w:r>
      <w:r>
        <w:rPr>
          <w:b/>
        </w:rPr>
        <w:t>Roland Rechtsschutz-Versicherungs-AG</w:t>
      </w:r>
      <w:r>
        <w:t>, Köln (Versicherungsschein Nr. RS-2020-00441-B). Der Vertrag umfasst u.a.:</w:t>
      </w:r>
    </w:p>
    <w:p>
      <w:pPr>
        <w:pStyle w:val="ListBullet"/>
      </w:pPr>
      <w:r>
        <w:t>Privater Rechtsschutz (Eigenschaft als Privatpersonen)</w:t>
      </w:r>
    </w:p>
    <w:p>
      <w:pPr>
        <w:pStyle w:val="ListBullet"/>
      </w:pPr>
      <w:r>
        <w:t>Berufsrechtsschutz (Dr. Berthold Rosenmündl: Praxis)</w:t>
      </w:r>
    </w:p>
    <w:p>
      <w:pPr>
        <w:pStyle w:val="ListBullet"/>
      </w:pPr>
      <w:r>
        <w:rPr>
          <w:b/>
        </w:rPr>
        <w:t>Immobilien-Rechtsschutz</w:t>
      </w:r>
      <w:r>
        <w:t xml:space="preserve"> (ausdrücklich eingeschlossen): Streitigkeiten aus Grundstücks- und Wohnraumverhältnissen.</w:t>
      </w:r>
    </w:p>
    <w:p>
      <w:pPr>
        <w:pStyle w:val="ListBullet"/>
      </w:pPr>
      <w:r>
        <w:t>Verkehrsrechtsschutz</w:t>
      </w:r>
    </w:p>
    <w:p>
      <w:pPr>
        <w:jc w:val="left"/>
      </w:pPr>
      <w:r>
        <w:t>Jährliche Prämie: 2.480 EUR; Selbstbehalt pro Schadensfall: 500 EUR.</w:t>
      </w:r>
    </w:p>
    <w:p/>
    <w:p>
      <w:pPr>
        <w:pStyle w:val="Heading2"/>
      </w:pPr>
      <w:r>
        <w:rPr>
          <w:rFonts w:ascii="Times New Roman" w:hAnsi="Times New Roman"/>
        </w:rPr>
        <w:t>2. Deckungsanfrage und Ablehnung</w:t>
      </w:r>
    </w:p>
    <w:p>
      <w:pPr>
        <w:jc w:val="left"/>
      </w:pPr>
      <w:r>
        <w:t>Schreiben RA Schwingenstein an Roland Rechtsschutz vom 15.04.2026 (Az. Kanzlei: SW/2026/0188-RS), Deckungsanfrage für:</w:t>
      </w:r>
    </w:p>
    <w:p>
      <w:pPr>
        <w:pStyle w:val="ListNumber"/>
      </w:pPr>
      <w:r>
        <w:t>Klage LG Stuttgart 4 O 188/26 (Minderung, Streitwert 340.000 EUR)</w:t>
      </w:r>
    </w:p>
    <w:p>
      <w:pPr>
        <w:pStyle w:val="ListNumber"/>
      </w:pPr>
      <w:r>
        <w:t>Anfechtungsklage gegen Grundbuch-Widerspruch K.H.-F. (ggf.)</w:t>
      </w:r>
    </w:p>
    <w:p>
      <w:pPr>
        <w:pStyle w:val="ListNumber"/>
      </w:pPr>
      <w:r>
        <w:t>Grundsteuer-Widerspruchsverfahren LK Stuttgart</w:t>
      </w:r>
    </w:p>
    <w:p>
      <w:pPr>
        <w:jc w:val="left"/>
      </w:pPr>
      <w:r>
        <w:rPr>
          <w:b/>
        </w:rPr>
        <w:t>Ablehnungsschreiben Roland Rechtsschutz vom 28.04.2026 (Az. RS-2020-00441-B/06/2026):</w:t>
      </w:r>
    </w:p>
    <w:p>
      <w:pPr>
        <w:jc w:val="left"/>
      </w:pPr>
      <w:r>
        <w:t>"Wir lehnen Deckungsschutz ab für die unter 1. benannte Klage, da der Versicherungsfall vor Beginn des Versicherungsvertrags eingetreten ist (Wartezeit-Klausel § 4 Abs. 3 ARB 2021). Das Kaufobjekt Talstraße 188 wurde vor Abschluss des Versicherungsvertrags ins Auge gefasst [Anm.: unrichtig — Kaufabsicht besteht erst seit Jan. 2026, Versicherungsvertrag seit März 2020]."</w:t>
      </w:r>
    </w:p>
    <w:p>
      <w:pPr>
        <w:jc w:val="left"/>
      </w:pPr>
      <w:r>
        <w:t>Außerdem wird gerügt: "Der Streit resultiert aus dem Erwerb von Grundeigentum; für Ersterwerbsstreitigkeiten gilt Versicherungsschutz nur in Ausnahmefällen (Klausel B2.2.4 ARB 2021 Roland)."</w:t>
      </w:r>
    </w:p>
    <w:p/>
    <w:p>
      <w:pPr>
        <w:pStyle w:val="Heading2"/>
      </w:pPr>
      <w:r>
        <w:rPr>
          <w:rFonts w:ascii="Times New Roman" w:hAnsi="Times New Roman"/>
        </w:rPr>
        <w:t>3. Rechtliche Bewertung der Ablehnung</w:t>
      </w:r>
    </w:p>
    <w:p>
      <w:pPr>
        <w:pStyle w:val="Heading3"/>
      </w:pPr>
      <w:r>
        <w:rPr>
          <w:rFonts w:ascii="Times New Roman" w:hAnsi="Times New Roman"/>
        </w:rPr>
        <w:t>a) ARB-Klausel und Wartezeit</w:t>
      </w:r>
    </w:p>
    <w:p>
      <w:pPr>
        <w:jc w:val="left"/>
      </w:pPr>
      <w:r>
        <w:t>Die Roland-ARB 2021 (Allgemeine Bedingungen für die Rechtsschutzversicherung) enthalten in § 4 Abs. 3 eine Wartezeit von drei Monaten für bestimmte Bereiche. Immobilien-Rechtsschutz ist in den Roland-ARB ohne Wartezeit gedeckt, da der Vertrag seit 2020 besteht — der "Versicherungsfall" (Kauf) trat 2026 ein, also weit nach Vertragsabschluss.</w:t>
      </w:r>
    </w:p>
    <w:p>
      <w:pPr>
        <w:jc w:val="left"/>
      </w:pPr>
      <w:r>
        <w:t>Der Versicherungsfall tritt im Rechtsschutz ein, wenn der Versicherungsnehmer erstmals mit dem Ereignis konfrontiert wird, das den Bedarf nach rechtlicher Hilfe auslöst — hier: Entdeckung der Mängel im Januar/Februar 2026. Kein Vorversicherungsfall.</w:t>
      </w:r>
    </w:p>
    <w:p>
      <w:pPr>
        <w:pStyle w:val="Heading3"/>
      </w:pPr>
      <w:r>
        <w:rPr>
          <w:rFonts w:ascii="Times New Roman" w:hAnsi="Times New Roman"/>
        </w:rPr>
        <w:t>b) Ablehnung wegen Ersterwerbsklausel</w:t>
      </w:r>
    </w:p>
    <w:p>
      <w:pPr>
        <w:jc w:val="left"/>
      </w:pPr>
      <w:r>
        <w:t xml:space="preserve">Die Klausel B2.2.4 ARB 2021 Roland schließt Ersterwerbsstreitigkeiten aus, </w:t>
      </w:r>
      <w:r>
        <w:rPr>
          <w:b/>
        </w:rPr>
        <w:t>wenn der Streit ausschließlich das Erwerbsgeschäft selbst betrifft</w:t>
      </w:r>
      <w:r>
        <w:t>. Hier betreffen die Streitigkeiten auch die laufende Verwaltung des Mietobjekts (Mietverhältnisse § 577a BGB, WEG, Grundsteuer), was Versicherungsschutz im Immobilienrechtsschutz-Baustein begründet.</w:t>
      </w:r>
    </w:p>
    <w:p>
      <w:pPr>
        <w:pStyle w:val="Heading3"/>
      </w:pPr>
      <w:r>
        <w:rPr>
          <w:rFonts w:ascii="Times New Roman" w:hAnsi="Times New Roman"/>
        </w:rPr>
        <w:t>c) Empfehlung</w:t>
      </w:r>
    </w:p>
    <w:p>
      <w:pPr>
        <w:jc w:val="left"/>
      </w:pPr>
      <w:r>
        <w:t>Widerspruch gegen Ablehnungsbescheid Roland (§ 128 VVG — Rechtsschutzklage zulässig nach 3-Monats-Frist). Hilfsweise Deckungsklage gegen Roland (§ 44 ARB).</w:t>
      </w:r>
    </w:p>
    <w:p>
      <w:pPr>
        <w:jc w:val="left"/>
      </w:pPr>
      <w:r>
        <w:t>Vorbereitetes Widerspruchsschreiben vom 30.04.2026 in Akte.</w:t>
      </w:r>
    </w:p>
    <w:p/>
    <w:p>
      <w:pPr>
        <w:pStyle w:val="Heading2"/>
      </w:pPr>
      <w:r>
        <w:rPr>
          <w:rFonts w:ascii="Times New Roman" w:hAnsi="Times New Roman"/>
        </w:rPr>
        <w:t>4. Kostenrisiko bei Unterliegen</w:t>
      </w:r>
    </w:p>
    <w:p>
      <w:pPr>
        <w:jc w:val="left"/>
      </w:pPr>
      <w:r>
        <w:t>Streitwert Minderungsklage 340.000 EUR: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Gerichtsgebühren (LG, 3,0 Gebühren)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10.668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Anwaltskosten eigene Seite (2,5 Gebühren)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Anwaltskosten Gegenseite (bei Unterliegen)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SV-Gutachten Gericht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Gesamtkostenrisiko (vollständiges Unterliegen)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51.728</w:t>
            </w:r>
          </w:p>
        </w:tc>
      </w:tr>
    </w:tbl>
    <w:p>
      <w:pPr>
        <w:jc w:val="left"/>
      </w:pPr>
      <w:r>
        <w:t>Ohne Rechtsschutzversicherung trägt dieses Risiko vollständig die Klägerseite.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128 VVG — dejure.org</w:t>
      </w:r>
    </w:p>
    <w:p>
      <w:pPr>
        <w:pStyle w:val="ListBullet"/>
      </w:pPr>
      <w:r>
        <w:t>§ 44 ARB 2021 — ARB-Muster GDV</w:t>
      </w:r>
    </w:p>
    <w:p>
      <w:pPr>
        <w:pStyle w:val="ListBullet"/>
      </w:pPr>
      <w:r>
        <w:t>BGH, Urt. v. 19.11.2008 — IV ZR 305/07 — Rechtsschutzversicherung, Versicherungsfall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20.04.2026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