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Chronologie und Strategie-Übersicht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15. Mai 2026</w:t>
      </w:r>
    </w:p>
    <w:p/>
    <w:p>
      <w:pPr>
        <w:pStyle w:val="Heading2"/>
      </w:pPr>
      <w:r>
        <w:rPr>
          <w:rFonts w:ascii="Times New Roman" w:hAnsi="Times New Roman"/>
        </w:rPr>
        <w:t>1. Zeitstrahl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Tod Dr. Volkard Hellmann; Grundstück Talstraße 188 geht in den Nachlass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Erbschein Nachlassgericht Stuttgart (Az. VI 0212/2025)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Mandatsannahme Dr. Bertram Schwingenstein; Erstgespräch Mandanten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Grundbuchauszug aktuell: Abt. III: LBBW + Deutsche Bank Grundschulden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Baulastenauskunft: Geh- und Fahrrechtsbaulast zugunsten Talstraße 186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SV-Begehung Habermeier; Bleirohrbefund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Schreiben an Erbengemeinschaft: Bleirohre, Baulast, Energieausweis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RA Schwingenstein an Mandanten: Baulast entdeckt (vgl. EML)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SV-Gutachten Oberholzer: Energieklasse G (statt 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Götz &amp; Schuster: K.H.-F. verweigert Verkauf; eigenes Gutachten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LK Stuttgart: Grundsteuerbescheid (vgl. EML)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WEG-Verwalter Stöckach GmbH: Konfliktmeldung (vgl. EML)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Notarvertrags-Entwurf fertiggestellt (Aktenstück 12)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Finanzierungsangebot BW-Bank angenommen (vorläufig)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Grenzfeststellung Stadtmessungsamt Stuttgart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Grundbuch-Widerspruch K.H.-F. eingetragen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Kanzlei an Erbenkonflikt: Aufforderung zur Einigung (vgl. EML)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GwG-Risikoanalyse abgeschlossen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Beratungsgespräch Mandanten: Fortsetzung Kauf, reduzierter Preis 4,5 Mio.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LG Stuttgart Az. 4 O 188/26 vorbereitet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Kanzlei an Finanzamt: Grundsteuer-Einspruch (vgl. EML)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Kaufvertragsbeurkundung (nach Abfindung K.H.-F. mit 95.000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Eigentumsumschreibung vollzogen; Besitzübergang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Eigentümerwechsel-Mitteilung an alle 8 Mieter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Mieterversammlung Talstraße 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LG Stuttgart eingereicht (Az. 4 O 188/26)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Güteverhandlung LG Stuttgart (geplant)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Verfahrensstränge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Schritte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Grundbuch-Eintragung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Vollzogen 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Grundbuchauszug nach Vollzug archivieren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Minderungsklage 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Anhängig, Az. 4 O 188/26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 abwarten (bis 20.05.2026)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Grundsteuer-Einspruch LK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Eingelegt 18.04.2026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Entscheidung abwarten; ggf. VG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Bleirohre-Sanierung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Planung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Herbst 2026, Ausschreibung Mai/Jun.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Rechtsschutz-Deckungsstreit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 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Roland-Reaktion abwarten; Frist: 3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Pflichtteilsstreit Rosenmündl (Vater)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Informationsmandat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Auskunftsklage gegen Georg R. prüfen (sep. Az.)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WEG-Entscheidung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Teilungserklärung aufrechterhalten oder rückabwickeln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Denkmalschutz-Sanierung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Konzept in Arbeit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Genehmigungsantrag LAD BW (Q3/2026)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Energetische Sanierung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Planung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KfW-Antrag + LAD-Abstimmung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Strategische Handlungsempfehlung</w:t>
      </w:r>
    </w:p>
    <w:p>
      <w:pPr>
        <w:pStyle w:val="Heading3"/>
      </w:pPr>
      <w:r>
        <w:rPr>
          <w:rFonts w:ascii="Times New Roman" w:hAnsi="Times New Roman"/>
        </w:rPr>
        <w:t>Kurzfristig (Mai–August 2026)</w:t>
      </w:r>
    </w:p>
    <w:p>
      <w:pPr>
        <w:pStyle w:val="ListNumber"/>
      </w:pPr>
      <w:r>
        <w:rPr>
          <w:b/>
        </w:rPr>
        <w:t>Minderungsklage</w:t>
      </w:r>
      <w:r>
        <w:t xml:space="preserve"> aktiv betreiben; Beweisanträge für SV-Gutachten im Prozess stellen.</w:t>
      </w:r>
    </w:p>
    <w:p>
      <w:pPr>
        <w:pStyle w:val="ListNumber"/>
      </w:pPr>
      <w:r>
        <w:rPr>
          <w:b/>
        </w:rPr>
        <w:t>Bleirohrsanierung</w:t>
      </w:r>
      <w:r>
        <w:t xml:space="preserve"> beauftragen — Ausschreibung spätestens Juni 2026. Sanitärfirma mit Denkmalschutz-Erfahrung (kein Eingriff in Originalsubstanz im Treppenhaus).</w:t>
      </w:r>
    </w:p>
    <w:p>
      <w:pPr>
        <w:pStyle w:val="ListNumber"/>
      </w:pPr>
      <w:r>
        <w:rPr>
          <w:b/>
        </w:rPr>
        <w:t>Verwalterauswahl:</w:t>
      </w:r>
      <w:r>
        <w:t xml:space="preserve"> Stöckach GmbH durch professionellen WEG-Verwalter ersetzen; Ausschreibung Juni 2026.</w:t>
      </w:r>
    </w:p>
    <w:p>
      <w:pPr>
        <w:pStyle w:val="ListNumber"/>
      </w:pPr>
      <w:r>
        <w:rPr>
          <w:b/>
        </w:rPr>
        <w:t>Finanzierungsfreigabe BW-Bank</w:t>
      </w:r>
      <w:r>
        <w:t xml:space="preserve"> abwarten (ausstehend bis Widerspruchs-Löschung im GB — erfolgt mit Vollzug bereits).</w:t>
      </w:r>
    </w:p>
    <w:p>
      <w:pPr>
        <w:pStyle w:val="Heading3"/>
      </w:pPr>
      <w:r>
        <w:rPr>
          <w:rFonts w:ascii="Times New Roman" w:hAnsi="Times New Roman"/>
        </w:rPr>
        <w:t>Mittelfristig (September 2026–2027)</w:t>
      </w:r>
    </w:p>
    <w:p>
      <w:pPr>
        <w:pStyle w:val="ListNumber"/>
      </w:pPr>
      <w:r>
        <w:rPr>
          <w:b/>
        </w:rPr>
        <w:t>Energiekonzept</w:t>
      </w:r>
      <w:r>
        <w:t xml:space="preserve"> mit SV Oberholzer und LAD BW abstimmen; Sanierungsmaßnahmen priorisieren (Heizung, hofseiti­ge Fenster, Kellerdecke).</w:t>
      </w:r>
    </w:p>
    <w:p>
      <w:pPr>
        <w:pStyle w:val="ListNumber"/>
      </w:pPr>
      <w:r>
        <w:rPr>
          <w:b/>
        </w:rPr>
        <w:t>§ 7i EStG:</w:t>
      </w:r>
      <w:r>
        <w:t xml:space="preserve"> Steuerberater Mandanten (StB Dr. Frank Nußbaum, Stuttgart) über Denkmalschutz-Sonderabschreibung informieren; Kostenzuordnung für Steueroptimierung.</w:t>
      </w:r>
    </w:p>
    <w:p>
      <w:pPr>
        <w:pStyle w:val="ListNumber"/>
      </w:pPr>
      <w:r>
        <w:rPr>
          <w:b/>
        </w:rPr>
        <w:t>Grundsteuer:</w:t>
      </w:r>
      <w:r>
        <w:t xml:space="preserve"> Ergebnis des Einspruchsverfahrens; bei Ablehnung VG Stuttgart.</w:t>
      </w:r>
    </w:p>
    <w:p>
      <w:pPr>
        <w:pStyle w:val="ListNumber"/>
      </w:pPr>
      <w:r>
        <w:rPr>
          <w:b/>
        </w:rPr>
        <w:t>Mietanpassungen</w:t>
      </w:r>
      <w:r>
        <w:t xml:space="preserve"> nach Sanierung (§ 559 BGB): Mieterhöhungsschreiben vorbereiten.</w:t>
      </w:r>
    </w:p>
    <w:p>
      <w:pPr>
        <w:pStyle w:val="Heading3"/>
      </w:pPr>
      <w:r>
        <w:rPr>
          <w:rFonts w:ascii="Times New Roman" w:hAnsi="Times New Roman"/>
        </w:rPr>
        <w:t>Langfristig (2028 ff.)</w:t>
      </w:r>
    </w:p>
    <w:p>
      <w:pPr>
        <w:pStyle w:val="ListNumber"/>
      </w:pPr>
      <w:r>
        <w:rPr>
          <w:b/>
        </w:rPr>
        <w:t>WEG-Umwandlung</w:t>
      </w:r>
      <w:r>
        <w:t xml:space="preserve"> und Einzelveräußerung erwägen; dabei § 577a BGB-Sperrfrist beachten (10 Jahre nach Umwandlung = 2035 frühestens für Eigenbedarf).</w:t>
      </w:r>
    </w:p>
    <w:p>
      <w:pPr>
        <w:pStyle w:val="ListNumber"/>
      </w:pPr>
      <w:r>
        <w:rPr>
          <w:b/>
        </w:rPr>
        <w:t>Pflichtteilsanspruch Berthold</w:t>
      </w:r>
      <w:r>
        <w:t xml:space="preserve"> beobachten; Erbfall Georg Rosenmündl kann kurzfristig eintreten.</w:t>
      </w:r>
    </w:p>
    <w:p/>
    <w:p>
      <w:pPr>
        <w:pStyle w:val="Heading2"/>
      </w:pPr>
      <w:r>
        <w:rPr>
          <w:rFonts w:ascii="Times New Roman" w:hAnsi="Times New Roman"/>
        </w:rPr>
        <w:t>4. Best-Case / Worst-Case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Kaufpreis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Minderungserlös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Gesamtkosten Sanierung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Ertrag (10 J.)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 Case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350.000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+ 1.800.000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Realfall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480.000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+ 1.100.000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550.000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+ 400.000</w:t>
            </w:r>
          </w:p>
        </w:tc>
      </w:tr>
    </w:tbl>
    <w:p>
      <w:pPr>
        <w:jc w:val="left"/>
      </w:pPr>
      <w:r>
        <w:t>Renditeberechnung Realfall (10 Jahre, Mieteinnahmen 57.600 EUR/Jahr steigernd, Wertsteigerung 3 % p.a.): Netto-Gesamtertrag ca. 1.100.000 EUR.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15.05.2026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