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22 — Abschluss und Handlungsempfehlung</w:t>
      </w:r>
    </w:p>
    <w:p>
      <w:pPr>
        <w:jc w:val="left"/>
      </w:pPr>
      <w:r>
        <w:rPr>
          <w:b/>
        </w:rPr>
        <w:t>Aktenzeichen: SW/2026/0188-IMM</w:t>
      </w:r>
    </w:p>
    <w:p>
      <w:pPr>
        <w:jc w:val="left"/>
      </w:pPr>
      <w:r>
        <w:t>Stand: 20. Mai 2026</w:t>
      </w:r>
    </w:p>
    <w:p/>
    <w:p>
      <w:pPr>
        <w:pStyle w:val="Heading2"/>
      </w:pPr>
      <w:r>
        <w:rPr>
          <w:rFonts w:ascii="Times New Roman" w:hAnsi="Times New Roman"/>
        </w:rPr>
        <w:t>1. Zusammenfassung des Mandatsverlaufs</w:t>
      </w:r>
    </w:p>
    <w:p>
      <w:pPr>
        <w:jc w:val="left"/>
      </w:pPr>
      <w:r>
        <w:t xml:space="preserve">Das Mandat der Eheleute Dr. Berthold Rosenmündl und Dr. Constanze Rosenmündl-Steinbacher wurde am 12.01.2026 angenommen. Ziel war die anwaltliche und notarielle Begleitung des Erwerbs des Mehrfamilienhauses Talstraße 188, 70188 Stuttgart-Ost, für einen Kaufpreis von ursprünglich 4.800.000 EUR. Im Verlauf der Due Diligence wurden acht eigenständige Rechtsprobleme identifiziert und bearbeitet (Aktenstücke 01–21). Der Eigentumsübergang vollzog sich am 30.04.2026 zu einem verhandelten Kaufpreis von </w:t>
      </w:r>
      <w:r>
        <w:rPr>
          <w:b/>
        </w:rPr>
        <w:t>4.500.000 EUR</w:t>
      </w:r>
      <w:r>
        <w:t>.</w:t>
      </w:r>
    </w:p>
    <w:p/>
    <w:p>
      <w:pPr>
        <w:pStyle w:val="Heading2"/>
      </w:pPr>
      <w:r>
        <w:rPr>
          <w:rFonts w:ascii="Times New Roman" w:hAnsi="Times New Roman"/>
        </w:rPr>
        <w:t>2. Erzielte Ergebnisse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Leistung</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Kaufpreisreduzierung durch Due Diligence</w:t>
            </w:r>
          </w:p>
        </w:tc>
        <w:tc>
          <w:tcPr>
            <w:tcW w:type="dxa" w:w="4536"/>
          </w:tcPr>
          <w:p>
            <w:r>
              <w:rPr>
                <w:rFonts w:ascii="Times New Roman" w:hAnsi="Times New Roman"/>
                <w:sz w:val="20"/>
              </w:rPr>
              <w:t>- 300.000 EUR (von 4.800.000 auf 4.500.000 EUR)</w:t>
            </w:r>
          </w:p>
        </w:tc>
      </w:tr>
      <w:tr>
        <w:tc>
          <w:tcPr>
            <w:tcW w:type="dxa" w:w="4536"/>
          </w:tcPr>
          <w:p>
            <w:r>
              <w:rPr>
                <w:rFonts w:ascii="Times New Roman" w:hAnsi="Times New Roman"/>
                <w:sz w:val="20"/>
              </w:rPr>
              <w:t>Abfindung K.H.-F. für Widerspruchsrücknahme</w:t>
            </w:r>
          </w:p>
        </w:tc>
        <w:tc>
          <w:tcPr>
            <w:tcW w:type="dxa" w:w="4536"/>
          </w:tcPr>
          <w:p>
            <w:r>
              <w:rPr>
                <w:rFonts w:ascii="Times New Roman" w:hAnsi="Times New Roman"/>
                <w:sz w:val="20"/>
              </w:rPr>
              <w:t>95.000 EUR (aus Kaufpreis, nicht Zusatzbelastung)</w:t>
            </w:r>
          </w:p>
        </w:tc>
      </w:tr>
      <w:tr>
        <w:tc>
          <w:tcPr>
            <w:tcW w:type="dxa" w:w="4536"/>
          </w:tcPr>
          <w:p>
            <w:r>
              <w:rPr>
                <w:rFonts w:ascii="Times New Roman" w:hAnsi="Times New Roman"/>
                <w:sz w:val="20"/>
              </w:rPr>
              <w:t>Baulast als Vertragsinhalt verankert</w:t>
            </w:r>
          </w:p>
        </w:tc>
        <w:tc>
          <w:tcPr>
            <w:tcW w:type="dxa" w:w="4536"/>
          </w:tcPr>
          <w:p>
            <w:r>
              <w:rPr>
                <w:rFonts w:ascii="Times New Roman" w:hAnsi="Times New Roman"/>
                <w:sz w:val="20"/>
              </w:rPr>
              <w:t>Ja (§ 3 Notarvertrag)</w:t>
            </w:r>
          </w:p>
        </w:tc>
      </w:tr>
      <w:tr>
        <w:tc>
          <w:tcPr>
            <w:tcW w:type="dxa" w:w="4536"/>
          </w:tcPr>
          <w:p>
            <w:r>
              <w:rPr>
                <w:rFonts w:ascii="Times New Roman" w:hAnsi="Times New Roman"/>
                <w:sz w:val="20"/>
              </w:rPr>
              <w:t>Rücktrittsrecht im Kaufvertrag gesichert</w:t>
            </w:r>
          </w:p>
        </w:tc>
        <w:tc>
          <w:tcPr>
            <w:tcW w:type="dxa" w:w="4536"/>
          </w:tcPr>
          <w:p>
            <w:r>
              <w:rPr>
                <w:rFonts w:ascii="Times New Roman" w:hAnsi="Times New Roman"/>
                <w:sz w:val="20"/>
              </w:rPr>
              <w:t>Ja (§ 7 Notarvertrag)</w:t>
            </w:r>
          </w:p>
        </w:tc>
      </w:tr>
      <w:tr>
        <w:tc>
          <w:tcPr>
            <w:tcW w:type="dxa" w:w="4536"/>
          </w:tcPr>
          <w:p>
            <w:r>
              <w:rPr>
                <w:rFonts w:ascii="Times New Roman" w:hAnsi="Times New Roman"/>
                <w:sz w:val="20"/>
              </w:rPr>
              <w:t>GwG-Meldung erstattet</w:t>
            </w:r>
          </w:p>
        </w:tc>
        <w:tc>
          <w:tcPr>
            <w:tcW w:type="dxa" w:w="4536"/>
          </w:tcPr>
          <w:p>
            <w:r>
              <w:rPr>
                <w:rFonts w:ascii="Times New Roman" w:hAnsi="Times New Roman"/>
                <w:sz w:val="20"/>
              </w:rPr>
              <w:t>Keine Meldung erforderlich</w:t>
            </w:r>
          </w:p>
        </w:tc>
      </w:tr>
      <w:tr>
        <w:tc>
          <w:tcPr>
            <w:tcW w:type="dxa" w:w="4536"/>
          </w:tcPr>
          <w:p>
            <w:r>
              <w:rPr>
                <w:rFonts w:ascii="Times New Roman" w:hAnsi="Times New Roman"/>
                <w:sz w:val="20"/>
              </w:rPr>
              <w:t>Grundsteuer-Einspruch eingelegt</w:t>
            </w:r>
          </w:p>
        </w:tc>
        <w:tc>
          <w:tcPr>
            <w:tcW w:type="dxa" w:w="4536"/>
          </w:tcPr>
          <w:p>
            <w:r>
              <w:rPr>
                <w:rFonts w:ascii="Times New Roman" w:hAnsi="Times New Roman"/>
                <w:sz w:val="20"/>
              </w:rPr>
              <w:t>Ja, LK Stuttgart, Frist gewahrt</w:t>
            </w:r>
          </w:p>
        </w:tc>
      </w:tr>
      <w:tr>
        <w:tc>
          <w:tcPr>
            <w:tcW w:type="dxa" w:w="4536"/>
          </w:tcPr>
          <w:p>
            <w:r>
              <w:rPr>
                <w:rFonts w:ascii="Times New Roman" w:hAnsi="Times New Roman"/>
                <w:sz w:val="20"/>
              </w:rPr>
              <w:t>Minderungsklage LG Stuttgart</w:t>
            </w:r>
          </w:p>
        </w:tc>
        <w:tc>
          <w:tcPr>
            <w:tcW w:type="dxa" w:w="4536"/>
          </w:tcPr>
          <w:p>
            <w:r>
              <w:rPr>
                <w:rFonts w:ascii="Times New Roman" w:hAnsi="Times New Roman"/>
                <w:sz w:val="20"/>
              </w:rPr>
              <w:t>Eingereicht, Az. 4 O 188/26</w:t>
            </w:r>
          </w:p>
        </w:tc>
      </w:tr>
      <w:tr>
        <w:tc>
          <w:tcPr>
            <w:tcW w:type="dxa" w:w="4536"/>
          </w:tcPr>
          <w:p>
            <w:r>
              <w:rPr>
                <w:rFonts w:ascii="Times New Roman" w:hAnsi="Times New Roman"/>
                <w:sz w:val="20"/>
              </w:rPr>
              <w:t>WEG-Teilungserklärung zurückgezogen</w:t>
            </w:r>
          </w:p>
        </w:tc>
        <w:tc>
          <w:tcPr>
            <w:tcW w:type="dxa" w:w="4536"/>
          </w:tcPr>
          <w:p>
            <w:r>
              <w:rPr>
                <w:rFonts w:ascii="Times New Roman" w:hAnsi="Times New Roman"/>
                <w:sz w:val="20"/>
              </w:rPr>
              <w:t>Ja (Eintragungsantrag zurück)</w:t>
            </w:r>
          </w:p>
        </w:tc>
      </w:tr>
      <w:tr>
        <w:tc>
          <w:tcPr>
            <w:tcW w:type="dxa" w:w="4536"/>
          </w:tcPr>
          <w:p>
            <w:r>
              <w:rPr>
                <w:rFonts w:ascii="Times New Roman" w:hAnsi="Times New Roman"/>
                <w:sz w:val="20"/>
              </w:rPr>
              <w:t>Mieter informiert und Versammlung durchgeführt</w:t>
            </w:r>
          </w:p>
        </w:tc>
        <w:tc>
          <w:tcPr>
            <w:tcW w:type="dxa" w:w="4536"/>
          </w:tcPr>
          <w:p>
            <w:r>
              <w:rPr>
                <w:rFonts w:ascii="Times New Roman" w:hAnsi="Times New Roman"/>
                <w:sz w:val="20"/>
              </w:rPr>
              <w:t>Ja, 08.05.2026</w:t>
            </w:r>
          </w:p>
        </w:tc>
      </w:tr>
    </w:tbl>
    <w:p/>
    <w:p>
      <w:pPr>
        <w:pStyle w:val="Heading2"/>
      </w:pPr>
      <w:r>
        <w:rPr>
          <w:rFonts w:ascii="Times New Roman" w:hAnsi="Times New Roman"/>
        </w:rPr>
        <w:t>3. Offene Verfahrensstränge</w:t>
      </w:r>
    </w:p>
    <w:p>
      <w:pPr>
        <w:pStyle w:val="Heading3"/>
      </w:pPr>
      <w:r>
        <w:rPr>
          <w:rFonts w:ascii="Times New Roman" w:hAnsi="Times New Roman"/>
        </w:rPr>
        <w:t>a) LG Stuttgart, Az. 4 O 188/26 (Minderungsklage, Streitwert 340.000 EUR)</w:t>
      </w:r>
    </w:p>
    <w:p>
      <w:pPr>
        <w:jc w:val="left"/>
      </w:pPr>
      <w:r>
        <w:t>Nächster Termin: Güteverhandlung 15.06.2026. Empfehlung: Vergleichsgespräch mit RA Gärtner (Gegenseite) vor dem Termin — Zielkorridor Vergleich: 180.000–220.000 EUR.</w:t>
      </w:r>
    </w:p>
    <w:p>
      <w:pPr>
        <w:pStyle w:val="Heading3"/>
      </w:pPr>
      <w:r>
        <w:rPr>
          <w:rFonts w:ascii="Times New Roman" w:hAnsi="Times New Roman"/>
        </w:rPr>
        <w:t>b) Grundsteuer-Einspruch LK Stuttgart</w:t>
      </w:r>
    </w:p>
    <w:p>
      <w:pPr>
        <w:jc w:val="left"/>
      </w:pPr>
      <w:r>
        <w:t>Entscheidung ausstehend. Bei Ablehnung: Klage Verwaltungsgericht Stuttgart erwägen (Streitwert ca. 3.000 EUR/Jahr). Verfassungsrechtliche Lage weiter beobachten.</w:t>
      </w:r>
    </w:p>
    <w:p>
      <w:pPr>
        <w:pStyle w:val="Heading3"/>
      </w:pPr>
      <w:r>
        <w:rPr>
          <w:rFonts w:ascii="Times New Roman" w:hAnsi="Times New Roman"/>
        </w:rPr>
        <w:t>c) Rechtsschutz-Deckungsstreit Roland</w:t>
      </w:r>
    </w:p>
    <w:p>
      <w:pPr>
        <w:jc w:val="left"/>
      </w:pPr>
      <w:r>
        <w:t>Widerspruch vom 30.04.2026; Roland hat 3 Monate Frist. Falls abgelehnt: Deckungsklage beim zuständigen LG (Wohnsitz Mandanten Stuttgart; Streitwert entspricht Anwaltskosten LG-Verfahren).</w:t>
      </w:r>
    </w:p>
    <w:p>
      <w:pPr>
        <w:pStyle w:val="Heading3"/>
      </w:pPr>
      <w:r>
        <w:rPr>
          <w:rFonts w:ascii="Times New Roman" w:hAnsi="Times New Roman"/>
        </w:rPr>
        <w:t>d) Pflichtteilsstreit Berthold Rosenmündl (separates Mandat)</w:t>
      </w:r>
    </w:p>
    <w:p>
      <w:pPr>
        <w:jc w:val="left"/>
      </w:pPr>
      <w:r>
        <w:t>Empfehlung: Separates Aktenzeichen anlegen. Auskunftsanspruch gegen Georg Rosenmündl nach § 2314 BGB in Briefform ankündigen; keine Klage ohne vorherige Reaktion.</w:t>
      </w:r>
    </w:p>
    <w:p>
      <w:pPr>
        <w:pStyle w:val="Heading3"/>
      </w:pPr>
      <w:r>
        <w:rPr>
          <w:rFonts w:ascii="Times New Roman" w:hAnsi="Times New Roman"/>
        </w:rPr>
        <w:t>e) Denkmalschutz-Sanierungsplanung</w:t>
      </w:r>
    </w:p>
    <w:p>
      <w:pPr>
        <w:jc w:val="left"/>
      </w:pPr>
      <w:r>
        <w:t>Genehmigungsantrag LAD BW für Q3/2026 vorbereiten; SV Oberholzer und Architekt mit Denkmalschutz-Erfahrung beauftragen.</w:t>
      </w:r>
    </w:p>
    <w:p/>
    <w:p>
      <w:pPr>
        <w:pStyle w:val="Heading2"/>
      </w:pPr>
      <w:r>
        <w:rPr>
          <w:rFonts w:ascii="Times New Roman" w:hAnsi="Times New Roman"/>
        </w:rPr>
        <w:t>4. Mandatsgebühren und Abrechnung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Anwaltshonorar (Stundenabrechnung, 380 EUR/h × 88 h)</w:t>
            </w:r>
          </w:p>
        </w:tc>
        <w:tc>
          <w:tcPr>
            <w:tcW w:type="dxa" w:w="4536"/>
          </w:tcPr>
          <w:p>
            <w:r>
              <w:rPr>
                <w:rFonts w:ascii="Times New Roman" w:hAnsi="Times New Roman"/>
                <w:sz w:val="20"/>
              </w:rPr>
              <w:t>33.440</w:t>
            </w:r>
          </w:p>
        </w:tc>
      </w:tr>
      <w:tr>
        <w:tc>
          <w:tcPr>
            <w:tcW w:type="dxa" w:w="4536"/>
          </w:tcPr>
          <w:p>
            <w:r>
              <w:rPr>
                <w:rFonts w:ascii="Times New Roman" w:hAnsi="Times New Roman"/>
                <w:sz w:val="20"/>
              </w:rPr>
              <w:t>Notargebühren Beurkundung (GNotKG, KV 21100)</w:t>
            </w:r>
          </w:p>
        </w:tc>
        <w:tc>
          <w:tcPr>
            <w:tcW w:type="dxa" w:w="4536"/>
          </w:tcPr>
          <w:p>
            <w:r>
              <w:rPr>
                <w:rFonts w:ascii="Times New Roman" w:hAnsi="Times New Roman"/>
                <w:sz w:val="20"/>
              </w:rPr>
              <w:t>18.900</w:t>
            </w:r>
          </w:p>
        </w:tc>
      </w:tr>
      <w:tr>
        <w:tc>
          <w:tcPr>
            <w:tcW w:type="dxa" w:w="4536"/>
          </w:tcPr>
          <w:p>
            <w:r>
              <w:rPr>
                <w:rFonts w:ascii="Times New Roman" w:hAnsi="Times New Roman"/>
                <w:sz w:val="20"/>
              </w:rPr>
              <w:t>Auslagen (Reisekosten, Kopien, Grundbuchauszüge etc.)</w:t>
            </w:r>
          </w:p>
        </w:tc>
        <w:tc>
          <w:tcPr>
            <w:tcW w:type="dxa" w:w="4536"/>
          </w:tcPr>
          <w:p>
            <w:r>
              <w:rPr>
                <w:rFonts w:ascii="Times New Roman" w:hAnsi="Times New Roman"/>
                <w:sz w:val="20"/>
              </w:rPr>
              <w:t>1.260</w:t>
            </w:r>
          </w:p>
        </w:tc>
      </w:tr>
      <w:tr>
        <w:tc>
          <w:tcPr>
            <w:tcW w:type="dxa" w:w="4536"/>
          </w:tcPr>
          <w:p>
            <w:r>
              <w:rPr>
                <w:rFonts w:ascii="Times New Roman" w:hAnsi="Times New Roman"/>
                <w:b/>
                <w:sz w:val="20"/>
              </w:rPr>
              <w:t>Summe netto</w:t>
            </w:r>
          </w:p>
        </w:tc>
        <w:tc>
          <w:tcPr>
            <w:tcW w:type="dxa" w:w="4536"/>
          </w:tcPr>
          <w:p>
            <w:r>
              <w:rPr>
                <w:rFonts w:ascii="Times New Roman" w:hAnsi="Times New Roman"/>
                <w:b/>
                <w:sz w:val="20"/>
              </w:rPr>
              <w:t>53.600</w:t>
            </w:r>
          </w:p>
        </w:tc>
      </w:tr>
      <w:tr>
        <w:tc>
          <w:tcPr>
            <w:tcW w:type="dxa" w:w="4536"/>
          </w:tcPr>
          <w:p>
            <w:r>
              <w:rPr>
                <w:rFonts w:ascii="Times New Roman" w:hAnsi="Times New Roman"/>
                <w:sz w:val="20"/>
              </w:rPr>
              <w:t>MwSt. 19 %</w:t>
            </w:r>
          </w:p>
        </w:tc>
        <w:tc>
          <w:tcPr>
            <w:tcW w:type="dxa" w:w="4536"/>
          </w:tcPr>
          <w:p>
            <w:r>
              <w:rPr>
                <w:rFonts w:ascii="Times New Roman" w:hAnsi="Times New Roman"/>
                <w:sz w:val="20"/>
              </w:rPr>
              <w:t>10.184</w:t>
            </w:r>
          </w:p>
        </w:tc>
      </w:tr>
      <w:tr>
        <w:tc>
          <w:tcPr>
            <w:tcW w:type="dxa" w:w="4536"/>
          </w:tcPr>
          <w:p>
            <w:r>
              <w:rPr>
                <w:rFonts w:ascii="Times New Roman" w:hAnsi="Times New Roman"/>
                <w:b/>
                <w:sz w:val="20"/>
              </w:rPr>
              <w:t>Gesamthonorar</w:t>
            </w:r>
          </w:p>
        </w:tc>
        <w:tc>
          <w:tcPr>
            <w:tcW w:type="dxa" w:w="4536"/>
          </w:tcPr>
          <w:p>
            <w:r>
              <w:rPr>
                <w:rFonts w:ascii="Times New Roman" w:hAnsi="Times New Roman"/>
                <w:b/>
                <w:sz w:val="20"/>
              </w:rPr>
              <w:t>63.784</w:t>
            </w:r>
          </w:p>
        </w:tc>
      </w:tr>
    </w:tbl>
    <w:p>
      <w:pPr>
        <w:jc w:val="left"/>
      </w:pPr>
      <w:r>
        <w:t>Abzüglich Vorschuss (gezahlt 15.01.2026): 15.000 EUR.</w:t>
      </w:r>
    </w:p>
    <w:p>
      <w:pPr>
        <w:jc w:val="left"/>
      </w:pPr>
      <w:r>
        <w:rPr>
          <w:b/>
        </w:rPr>
        <w:t>Restzahlung:</w:t>
      </w:r>
      <w:r>
        <w:t xml:space="preserve"> 48.784 EUR — Rechnung folgt.</w:t>
      </w:r>
    </w:p>
    <w:p/>
    <w:p>
      <w:pPr>
        <w:pStyle w:val="Heading2"/>
      </w:pPr>
      <w:r>
        <w:rPr>
          <w:rFonts w:ascii="Times New Roman" w:hAnsi="Times New Roman"/>
        </w:rPr>
        <w:t>5. Abschließende Handlungsempfehlung</w:t>
      </w:r>
    </w:p>
    <w:p>
      <w:pPr>
        <w:jc w:val="left"/>
      </w:pPr>
      <w:r>
        <w:rPr>
          <w:b/>
        </w:rPr>
        <w:t>Sofort (Mai/Juni 2026):</w:t>
      </w:r>
    </w:p>
    <w:p>
      <w:pPr>
        <w:pStyle w:val="ListBullet"/>
      </w:pPr>
      <w:r>
        <w:t>Vergleichsgespräch mit Erbengemeinschaft vor LG-Termin 15.06.2026</w:t>
      </w:r>
    </w:p>
    <w:p>
      <w:pPr>
        <w:pStyle w:val="ListBullet"/>
      </w:pPr>
      <w:r>
        <w:t>Bleirohrsanierung ausschreiben</w:t>
      </w:r>
    </w:p>
    <w:p>
      <w:pPr>
        <w:pStyle w:val="ListBullet"/>
      </w:pPr>
      <w:r>
        <w:t>Neuen WEG-Verwalter aussuchen und beauftragen</w:t>
      </w:r>
    </w:p>
    <w:p>
      <w:pPr>
        <w:jc w:val="left"/>
      </w:pPr>
      <w:r>
        <w:rPr>
          <w:b/>
        </w:rPr>
        <w:t>Q3 2026:</w:t>
      </w:r>
    </w:p>
    <w:p>
      <w:pPr>
        <w:pStyle w:val="ListBullet"/>
      </w:pPr>
      <w:r>
        <w:t>Denkmalschutz-Genehmigungsantrag LAD BW</w:t>
      </w:r>
    </w:p>
    <w:p>
      <w:pPr>
        <w:pStyle w:val="ListBullet"/>
      </w:pPr>
      <w:r>
        <w:t>StB Nußbaum: § 7i EStG-Optimierung für Denkmalschutz-Sanierungskosten</w:t>
      </w:r>
    </w:p>
    <w:p>
      <w:pPr>
        <w:pStyle w:val="ListBullet"/>
      </w:pPr>
      <w:r>
        <w:t>Grundsteuer-Einspruchsergebnis auswerten</w:t>
      </w:r>
    </w:p>
    <w:p>
      <w:pPr>
        <w:jc w:val="left"/>
      </w:pPr>
      <w:r>
        <w:rPr>
          <w:b/>
        </w:rPr>
        <w:t>Mittelfristig:</w:t>
      </w:r>
    </w:p>
    <w:p>
      <w:pPr>
        <w:pStyle w:val="ListBullet"/>
      </w:pPr>
      <w:r>
        <w:t>Ergebnis Rechtsschutzversicherung Roland abwarten</w:t>
      </w:r>
    </w:p>
    <w:p>
      <w:pPr>
        <w:pStyle w:val="ListBullet"/>
      </w:pPr>
      <w:r>
        <w:t>Mieterhöhung nach Sanierung (§ 559 BGB) vorbereiten</w:t>
      </w:r>
    </w:p>
    <w:p>
      <w:pPr>
        <w:pStyle w:val="ListBullet"/>
      </w:pPr>
      <w:r>
        <w:t>Separat: Pflichtteilsanspruch Berthold — Auskunft Georg Rosenmündl</w:t>
      </w:r>
    </w:p>
    <w:p>
      <w:pPr>
        <w:jc w:val="left"/>
      </w:pPr>
      <w:r>
        <w:t xml:space="preserve">Das Mandat </w:t>
      </w:r>
      <w:r>
        <w:t>immobilienrechtspraxis</w:t>
      </w:r>
      <w:r>
        <w:t xml:space="preserve"> ist mit Eigentumsübergang (30.04.2026) in die Nachbearbeitungsphase eingetreten. Drei Verfahren sind anhängig; die laufende Betreuung wird fortgeführt.</w:t>
      </w:r>
    </w:p>
    <w:p/>
    <w:p>
      <w:pPr>
        <w:jc w:val="left"/>
      </w:pPr>
      <w:r>
        <w:rPr>
          <w:i/>
        </w:rPr>
        <w:t>Bearbeiter: RA/Notar Dr. Bertram Schwingenstein</w:t>
      </w:r>
    </w:p>
    <w:p>
      <w:pPr>
        <w:jc w:val="left"/>
      </w:pPr>
      <w:r>
        <w:rPr>
          <w:i/>
        </w:rPr>
        <w:t>Datum: 20.05.2026</w:t>
      </w:r>
    </w:p>
    <w:p>
      <w:pPr>
        <w:jc w:val="left"/>
      </w:pPr>
      <w:r>
        <w:rPr>
          <w:i/>
        </w:rPr>
        <w:t>Kanzlei Schwingenstein &amp; Partner</w:t>
      </w:r>
    </w:p>
    <w:p>
      <w:pPr>
        <w:jc w:val="left"/>
      </w:pPr>
      <w:r>
        <w:rPr>
          <w:i/>
        </w:rPr>
        <w:t>Friedrichstraße 18, 70174 Stuttgart</w:t>
      </w:r>
    </w:p>
    <w:p>
      <w:pPr>
        <w:jc w:val="left"/>
      </w:pPr>
      <w:r>
        <w:rPr>
          <w:i/>
        </w:rPr>
        <w:t>Tel. 0711 / 88 44 22-0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