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Partnervermerk Elbwerft Solar</w:t>
      </w:r>
    </w:p>
    <w:p>
      <w:pPr>
        <w:jc w:val="left"/>
      </w:pPr>
      <w:r>
        <w:rPr>
          <w:b/>
        </w:rPr>
        <w:t>Datum:</w:t>
      </w:r>
      <w:r>
        <w:t xml:space="preserve"> 20.05.2026</w:t>
      </w:r>
    </w:p>
    <w:p>
      <w:pPr>
        <w:jc w:val="left"/>
      </w:pPr>
      <w:r>
        <w:rPr>
          <w:b/>
        </w:rPr>
        <w:t>Mandantin:</w:t>
      </w:r>
      <w:r>
        <w:t xml:space="preserve"> Elbwerft Solarplanung eGbR, Hamburg-Altona</w:t>
      </w:r>
    </w:p>
    <w:p>
      <w:pPr>
        <w:jc w:val="left"/>
      </w:pPr>
      <w:r>
        <w:t>Die Mandantin plant Photovoltaik-Gewerbeanlagen, kauft inzwischen Wechselrichter und Batteriespeicher im eigenen Namen ein und verkauft Projektpakete an Gewerbekunden weiter. Umsatz 2025: 3,8 Mio. EUR. 18 Mitarbeiter, Warenlager in Billbrook, ERP-System, Kreditlinie 900.000 EUR. Die Gesellschaft ist als eGbR registriert, nutzt aber im Außenauftritt „Elbwerft Solar OHG“ in mehreren Angeboten.</w:t>
      </w:r>
    </w:p>
    <w:p>
      <w:pPr>
        <w:jc w:val="left"/>
      </w:pPr>
      <w:r>
        <w:t>Die Bank verlangt für die Erweiterung der Kreditlinie die Umstellung in eine GmbH &amp; Co. KG oder KG mit klarer Haftsumme. Ein Investor soll als Kommanditist eintreten. Gleichzeitig droht Lieferant Soltronic AG mit Klage wegen eines Rahmenvertrags, den der kaufmännische Leiter mit Prokura unterschrieben hat.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