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Prokura und Rahmenvertrag Soltronic</w:t>
      </w:r>
    </w:p>
    <w:p>
      <w:pPr>
        <w:jc w:val="left"/>
      </w:pPr>
      <w:r>
        <w:t>Kaufmännischer Leiter Lutz Meinhard erhielt am 10.01.2026 schriftlich „Prokura für alle gewöhnlichen Geschäfte“. Eine Registereintragung ist nicht erfolgt. Am 28.02.2026 unterschrieb er einen Rahmenvertrag über 160 Wechselrichter mit Abrufpflicht 2026/27, Volumen 1,28 Mio. EUR.</w:t>
      </w:r>
    </w:p>
    <w:p>
      <w:pPr>
        <w:jc w:val="left"/>
      </w:pPr>
      <w:r>
        <w:t>Interne Grenze laut Gesellschafterbeschluss: Einzelgeschäfte über 75.000 EUR nur mit Zustimmung aller Gesellschafter. Soltronic kannte diese Grenze nicht.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