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Handelskauf und Mängelrüge</w:t>
      </w:r>
    </w:p>
    <w:p>
      <w:pPr>
        <w:jc w:val="left"/>
      </w:pPr>
      <w:r>
        <w:t>Soltronic lieferte am 04.04.2026 40 Wechselrichter. Wareneingang bei Elbwerft am 05.04.2026, Einlagerung ungeprüft. Am 22.04.2026 stellte ein Techniker fest, dass 11 Geräte Firmware-Fehler zeigen und bei Netzumschaltung ausfallen. Rüge an Soltronic per E-Mail am 28.04.2026.</w:t>
      </w:r>
    </w:p>
    <w:p>
      <w:pPr>
        <w:jc w:val="left"/>
      </w:pPr>
      <w:r>
        <w:t>Soltronic: Rüge verspätet, § 377 HGB.</w:t>
      </w:r>
    </w:p>
    <w:p>
      <w:pPr>
        <w:jc w:val="left"/>
      </w:pPr>
      <w:r>
        <w:t>Elbwerft: Fehler erst bei Integration in Batteriesystem erkennbar, außerdem seien wir doch „nur eGbR“.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