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Statuswechsel-Prüfmatrix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Befund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Handelsgewerbe nach Art/Umfang?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Umsatz, Warenlager, ERP, Personal sprechen dafür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Auftreten als OHG?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Angebote und Signaturen verwenden „OHG“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Rechtsschein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eGbR im Gesellschaftsregister?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Statuswechsel formal nötig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KG geplant?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Bank/Investor verlangen Haftsumme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Register- und Haftungsrisiko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Prokura wirksam?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Erteilung möglich, Eintragung deklaratorisch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Außenmacht wahrscheinlich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377 HGB anwendbar?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Wenn Handelsgeschäft beiderseits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Rügeproblem hoch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