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Kommanditistenhaftung — Notiz</w:t>
      </w:r>
    </w:p>
    <w:p>
      <w:pPr>
        <w:jc w:val="left"/>
      </w:pPr>
      <w:r>
        <w:t>Möller Speicherholding GmbH will bereits vor Registereintragung eine „Beitrittserklärung als Kommanditist“ unterschreiben, aber keine persönliche Haftung vor Eintragung riskieren. Die Bank möchte sofortige wirtschaftliche Bindung.</w:t>
      </w:r>
    </w:p>
    <w:p>
      <w:pPr>
        <w:jc w:val="left"/>
      </w:pPr>
      <w:r>
        <w:t>Zu prüfen:</w:t>
      </w:r>
    </w:p>
    <w:p>
      <w:pPr>
        <w:pStyle w:val="ListBullet"/>
      </w:pPr>
      <w:r>
        <w:t>Beginn der KG im Innenverhältnis.</w:t>
      </w:r>
    </w:p>
    <w:p>
      <w:pPr>
        <w:pStyle w:val="ListBullet"/>
      </w:pPr>
      <w:r>
        <w:t>Außenhaftung vor Eintragung.</w:t>
      </w:r>
    </w:p>
    <w:p>
      <w:pPr>
        <w:pStyle w:val="ListBullet"/>
      </w:pPr>
      <w:r>
        <w:t>Haftsumme vs. Pflichteinlage.</w:t>
      </w:r>
    </w:p>
    <w:p>
      <w:pPr>
        <w:pStyle w:val="ListBullet"/>
      </w:pPr>
      <w:r>
        <w:t>Registerpublizität.</w:t>
      </w:r>
    </w:p>
    <w:p>
      <w:pPr>
        <w:pStyle w:val="ListBullet"/>
      </w:pPr>
      <w:r>
        <w:t>Auftreten in E-Mail-Signatur und Angeboten.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