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Altona Warenkontor: eGbR, OHG-Werdung und Kommanditistenstreit</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Eine eGbR überschreitet die Schwelle zum Handelsgewerbe, das Register drängt auf HGB-Klarheit, während eine KG-Struktur und Haftungsfragen vorbereitet werden.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HGB §§ 1, 2, 105 ff., 161 ff.; MoPeG/BGB-Gesellschaftsrecht; FamFG/Registerverfahren; Vertretung und Haftung.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