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Prokura — Widerruf und Neuerteilung</w:t>
      </w:r>
    </w:p>
    <w:p>
      <w:pPr>
        <w:jc w:val="left"/>
      </w:pPr>
      <w:r>
        <w:t>Die Bank verlangt Gesamtprokura. Lutz Meinhard hatte bisher eine schriftliche Einzelprokura, nicht eingetragen. Zu prüfen:</w:t>
      </w:r>
    </w:p>
    <w:p>
      <w:pPr>
        <w:pStyle w:val="ListBullet"/>
      </w:pPr>
      <w:r>
        <w:t>War die Prokura trotz fehlender Eintragung wirksam?</w:t>
      </w:r>
    </w:p>
    <w:p>
      <w:pPr>
        <w:pStyle w:val="ListBullet"/>
      </w:pPr>
      <w:r>
        <w:t>Kann eine interne Beschränkung dem Lieferanten entgegengehalten werden?</w:t>
      </w:r>
    </w:p>
    <w:p>
      <w:pPr>
        <w:pStyle w:val="ListBullet"/>
      </w:pPr>
      <w:r>
        <w:t>Wie wird Prokura widerrufen?</w:t>
      </w:r>
    </w:p>
    <w:p>
      <w:pPr>
        <w:pStyle w:val="ListBullet"/>
      </w:pPr>
      <w:r>
        <w:t>Soll künftig Gesamtprokura mit einem Gesellschafter eingeführt werden?</w:t>
      </w:r>
    </w:p>
    <w:p>
      <w:pPr>
        <w:pStyle w:val="ListBullet"/>
      </w:pPr>
      <w:r>
        <w:t>Welche Registeranmeldung ist nötig?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