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Nachfassende Mängelrüge an Soltronic</w:t>
      </w:r>
    </w:p>
    <w:p>
      <w:pPr>
        <w:jc w:val="left"/>
      </w:pPr>
      <w:r>
        <w:t>Sehr geehrte Damen und Herren,</w:t>
      </w:r>
    </w:p>
    <w:p>
      <w:pPr>
        <w:jc w:val="left"/>
      </w:pPr>
      <w:r>
        <w:t>wir halten an der Mängelrüge fest. Die Firmwarefehler waren bei Wareneingang trotz ordnungsgemäßer äußerer Untersuchung nicht erkennbar. Sie zeigten sich erst bei Integration in ein Batteriesystem mit Netzumschaltung. Bitte teilen Sie bis 03.06.2026 mit, ob Sie Ersatzgeräte liefern oder ein Firmware-Update bereitstellen.</w:t>
      </w:r>
    </w:p>
    <w:p>
      <w:pPr>
        <w:jc w:val="left"/>
      </w:pPr>
      <w:r>
        <w:t>Ohne Präjudiz zur Frage der Kaufmannseigenschaft und zur Anwendbarkeit von § 377 HGB.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