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Klageerwiderung Soltronic — Arbeitsstand</w:t>
      </w:r>
    </w:p>
    <w:p>
      <w:pPr>
        <w:pStyle w:val="Heading2"/>
      </w:pPr>
      <w:r>
        <w:rPr>
          <w:rFonts w:ascii="Times New Roman" w:hAnsi="Times New Roman"/>
        </w:rPr>
        <w:t>Verteidigungslinien Elbwerft</w:t>
      </w:r>
    </w:p>
    <w:p>
      <w:pPr>
        <w:pStyle w:val="ListNumber"/>
      </w:pPr>
      <w:r>
        <w:t>Fehler war verdeckt und bei ordnungsgemäßer Wareneingangskontrolle nicht erkennbar.</w:t>
      </w:r>
    </w:p>
    <w:p>
      <w:pPr>
        <w:pStyle w:val="ListNumber"/>
      </w:pPr>
      <w:r>
        <w:t>Rüge erfolgte unverzüglich nach Entdeckung.</w:t>
      </w:r>
    </w:p>
    <w:p>
      <w:pPr>
        <w:pStyle w:val="ListNumber"/>
      </w:pPr>
      <w:r>
        <w:t>Soltronic kannte den Einsatzzweck und musste kompatible Firmware liefern.</w:t>
      </w:r>
    </w:p>
    <w:p>
      <w:pPr>
        <w:pStyle w:val="ListNumber"/>
      </w:pPr>
      <w:r>
        <w:t>Selbst bei HGB-Anwendbarkeit bleibt Nachlieferung geschuldet, wenn Arglist oder Garantiefragen auftauchen.</w:t>
      </w:r>
    </w:p>
    <w:p>
      <w:pPr>
        <w:pStyle w:val="Heading2"/>
      </w:pPr>
      <w:r>
        <w:rPr>
          <w:rFonts w:ascii="Times New Roman" w:hAnsi="Times New Roman"/>
        </w:rPr>
        <w:t>Schwächen</w:t>
      </w:r>
    </w:p>
    <w:p>
      <w:pPr>
        <w:pStyle w:val="ListBullet"/>
      </w:pPr>
      <w:r>
        <w:t>Wareneingangskontrolle war nur oberflächlich dokumentiert.</w:t>
      </w:r>
    </w:p>
    <w:p>
      <w:pPr>
        <w:pStyle w:val="ListBullet"/>
      </w:pPr>
      <w:r>
        <w:t>Elbwerft tritt nach außen selbst als OHG auf.</w:t>
      </w:r>
    </w:p>
    <w:p>
      <w:pPr>
        <w:pStyle w:val="ListBullet"/>
      </w:pPr>
      <w:r>
        <w:t>ERP-Lagerbuch zeigt 17 Tage ohne Prüfung.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