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Lager und Buchführung</w:t>
      </w:r>
    </w:p>
    <w:p>
      <w:pPr>
        <w:jc w:val="left"/>
      </w:pPr>
      <w:r>
        <w:t>Die Gesellschaft führt ein ERP-System mit Lagerbuch, Seriennummern und Wareneingangsstatus. Nicht alle Wareneingänge werden am selben Tag technisch geprüft.</w:t>
      </w:r>
    </w:p>
    <w:p>
      <w:pPr>
        <w:jc w:val="left"/>
      </w:pPr>
      <w:r>
        <w:t>Prüfpunkt HGB:</w:t>
      </w:r>
    </w:p>
    <w:p>
      <w:pPr>
        <w:pStyle w:val="ListBullet"/>
      </w:pPr>
      <w:r>
        <w:t>Buchführungspflicht als Indiz für kaufmännischen Geschäftsbetrieb.</w:t>
      </w:r>
    </w:p>
    <w:p>
      <w:pPr>
        <w:pStyle w:val="ListBullet"/>
      </w:pPr>
      <w:r>
        <w:t>Handelsbücher als Beweisquelle.</w:t>
      </w:r>
    </w:p>
    <w:p>
      <w:pPr>
        <w:pStyle w:val="ListBullet"/>
      </w:pPr>
      <w:r>
        <w:t>Dokumentation der Untersuchungsobliegenheit bei Handelskauf.</w:t>
      </w:r>
    </w:p>
    <w:p>
      <w:pPr>
        <w:pStyle w:val="ListBullet"/>
      </w:pPr>
      <w:r>
        <w:t>Pflicht zur Aufbewahrung abgesandter Handelsbriefe.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