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Anwaltliches Kurzvotum</w:t>
      </w:r>
    </w:p>
    <w:p>
      <w:pPr>
        <w:jc w:val="left"/>
      </w:pPr>
      <w:r>
        <w:t>Elbwerft sollte nicht länger zwischen eGbR-, OHG- und KG-Auftritt wechseln. Nach Umsatz, Warenlager, Organisation und Kreditbedarf spricht viel für einen kaufmännisch eingerichteten Geschäftsbetrieb. Der Statuswechsel ist registerlich sauber nachzuholen. Für den Soltronic-Streit ist die eigene Argumentation gegen § 377 HGB schwach, wenn Elbwerft zugleich im Markt als OHG auftritt. Verteidigung muss daher auf verdeckten Mangel und unverzügliche Rüge ab Entdeckung konzentriert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