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Mandatsnotiz</w:t>
      </w:r>
    </w:p>
    <w:p>
      <w:pPr>
        <w:jc w:val="left"/>
      </w:pPr>
      <w:r>
        <w:t>Nordstern MedTech GmbH kündigt einer langjährigen Handelsvertreteragentur nach Online-Vertriebsumstellung; streitig sind Status, Bezirksprovision, Buchauszug, Stornoreserve und Ausgleich § 89b HGB.</w:t>
      </w:r>
    </w:p>
    <w:p>
      <w:pPr>
        <w:jc w:val="left"/>
      </w:pPr>
      <w:r>
        <w:t>Beteiligte: Geschäftsleitung, Rechtsabteilung, operative Fachabteilungen, externe IT/Compliance-Berater und mehrere Personen mit eigenen Interessen. Die Akte ist bewusst unaufgeräumt: manche Unterlagen widersprechen sich, Zahlenstände weichen ab und einzelne Dokumente wirken bereits überholt.</w:t>
      </w:r>
    </w:p>
    <w:p>
      <w:pPr>
        <w:jc w:val="left"/>
      </w:pPr>
      <w:r>
        <w:t>Arbeitsziel heute: zuerst sortieren, dann keine vorschnelle Rechtsmeinung ausgeben. Jede harte Aussage soll auf ein konkretes Aktenstück oder eine frei prüfbare Quelle zurückgeführt werden.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