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Sachverhalt und Aufgabenstellung (BGB Übung für Fortgeschrittene SS 26)</w:t>
      </w:r>
    </w:p>
    <w:p>
      <w:pPr>
        <w:jc w:val="left"/>
      </w:pPr>
      <w:r>
        <w:rPr>
          <w:b/>
        </w:rPr>
        <w:t>Veranstaltung:</w:t>
      </w:r>
      <w:r>
        <w:t xml:space="preserve"> BGB Übung für Fortgeschrittene, Sommersemester 2026</w:t>
      </w:r>
    </w:p>
    <w:p>
      <w:pPr>
        <w:jc w:val="left"/>
      </w:pPr>
      <w:r>
        <w:rPr>
          <w:b/>
        </w:rPr>
        <w:t>Lehrstuhl:</w:t>
      </w:r>
      <w:r>
        <w:t xml:space="preserve"> Prof. Dr. Werner Wandersleben, Universität Leipzig, Juristenfakultät</w:t>
      </w:r>
    </w:p>
    <w:p>
      <w:pPr>
        <w:jc w:val="left"/>
      </w:pPr>
      <w:r>
        <w:rPr>
          <w:b/>
        </w:rPr>
        <w:t>Bearbeiter:</w:t>
      </w:r>
      <w:r>
        <w:t xml:space="preserve"> Konrad Pohlmann, 7. Semester, Matrikelnummer 5811274</w:t>
      </w:r>
    </w:p>
    <w:p>
      <w:pPr>
        <w:jc w:val="left"/>
      </w:pPr>
      <w:r>
        <w:rPr>
          <w:b/>
        </w:rPr>
        <w:t>Abgabe:</w:t>
      </w:r>
      <w:r>
        <w:t xml:space="preserve"> 05. Juni 2026, 12:00 Uhr (Einwurf Briefkasten Juristenfakultät)</w:t>
      </w:r>
    </w:p>
    <w:p/>
    <w:p>
      <w:pPr>
        <w:pStyle w:val="Heading2"/>
      </w:pPr>
      <w:r>
        <w:rPr>
          <w:rFonts w:ascii="Times New Roman" w:hAnsi="Times New Roman"/>
        </w:rPr>
        <w:t>Sachverhalt</w:t>
      </w:r>
    </w:p>
    <w:p>
      <w:pPr>
        <w:jc w:val="left"/>
      </w:pPr>
      <w:r>
        <w:rPr>
          <w:b/>
        </w:rPr>
        <w:t>A</w:t>
      </w:r>
      <w:r>
        <w:t xml:space="preserve"> ist selbständiger Kunsthändler in Leipzig. Im Rahmen seiner gewerblichen Tätigkeit verkauft er im März 2026 an </w:t>
      </w:r>
      <w:r>
        <w:rPr>
          <w:b/>
        </w:rPr>
        <w:t>B</w:t>
      </w:r>
      <w:r>
        <w:t xml:space="preserve">, einen Privatmann aus Dresden, eine Vermeer-Replik (zeitgenössische Kopie, Öl auf Leinwand, ca. 45 × 54 cm) zum Preis von </w:t>
      </w:r>
      <w:r>
        <w:rPr>
          <w:b/>
        </w:rPr>
        <w:t>4.800 Euro</w:t>
      </w:r>
      <w:r>
        <w:t>. B möchte das Gemälde als Schmuckstück seiner Privatbibliothek verwenden. Im schriftlichen Kaufvertrag vom 10.03.2026 wird das Bild als „Werkstattkopie nach Johannes Vermeer, 21. Jahrhundert, signiert" beschrieben. Übergabe und Übereignung sollen am 01.04.2026 in der Galerie des A in Leipzig erfolgen.</w:t>
      </w:r>
    </w:p>
    <w:p>
      <w:pPr>
        <w:jc w:val="left"/>
      </w:pPr>
      <w:r>
        <w:t xml:space="preserve">B zahlt die Kaufpreisforderung zunächst nicht. Er beruft sich auf eine Gegenforderung in Höhe von </w:t>
      </w:r>
      <w:r>
        <w:rPr>
          <w:b/>
        </w:rPr>
        <w:t>2.200 Euro</w:t>
      </w:r>
      <w:r>
        <w:t>, die er gegenüber A aus einem früheren Darlehensvertrag geltend macht. Diese Gegenforderung ist unstreitig entstanden und fällig. B erklärt am 10.04.2026 gegenüber A schriftlich die Aufrechnung.</w:t>
      </w:r>
    </w:p>
    <w:p>
      <w:pPr>
        <w:jc w:val="left"/>
      </w:pPr>
      <w:r>
        <w:t>Bei der vereinbarten Übergabe am 01.04.2026 stellt B fest, dass das Gemälde an der rechten unteren Ecke einen deutlichen Farbabplatzung (ca. 3 × 5 cm) aufweist, die im Kaufvertrag nicht erwähnt ist. B rügt den Mangel noch am Übergabetag und fordert A zur Nachbesserung auf. A lehnt eine Nachbesserung mit der Begründung ab, er kenne den Schaden nicht und das Gemälde befinde sich im vertragsgemäßen Zustand. Eine Frist zur Nachbesserung setzt B dem A nicht ausdrücklich schriftlich, doch erklärt B, er werde „noch dieser Woche" anderweitig für Abhilfe sorgen, falls A nicht tätig werde.</w:t>
      </w:r>
    </w:p>
    <w:p>
      <w:pPr>
        <w:jc w:val="left"/>
      </w:pPr>
      <w:r>
        <w:t xml:space="preserve">A tritt am 15.04.2026 seine Kaufpreisforderung gegen B in voller Höhe (also 4.800 Euro, ohne Berücksichtigung der Aufrechnungserklärung) an </w:t>
      </w:r>
      <w:r>
        <w:rPr>
          <w:b/>
        </w:rPr>
        <w:t>C</w:t>
      </w:r>
      <w:r>
        <w:t>, eine Inkassofirma aus Halle (Saale), ab. C ist keine Verbraucherin. A zeigt die Abtretung dem B am gleichen Tag schriftlich an. C nimmt B am 22.04.2026 gerichtlich auf Zahlung von 4.800 Euro in Anspruch.</w:t>
      </w:r>
    </w:p>
    <w:p/>
    <w:p>
      <w:pPr>
        <w:pStyle w:val="Heading2"/>
      </w:pPr>
      <w:r>
        <w:rPr>
          <w:rFonts w:ascii="Times New Roman" w:hAnsi="Times New Roman"/>
        </w:rPr>
        <w:t>Aufgabe</w:t>
      </w:r>
    </w:p>
    <w:p>
      <w:pPr>
        <w:jc w:val="left"/>
      </w:pPr>
      <w:r>
        <w:t>Erstellen Sie ein Rechtsgutachten im Gutachtenstil (25–30 Seiten, 1,5-facher Zeilenabstand, Schriftgröße 12 pt, Times New Roman) zu folgenden Fragen:</w:t>
      </w:r>
    </w:p>
    <w:p>
      <w:pPr>
        <w:jc w:val="left"/>
      </w:pPr>
      <w:r>
        <w:rPr>
          <w:b/>
        </w:rPr>
        <w:t>1. Ansprüche des A gegen B</w:t>
      </w:r>
    </w:p>
    <w:p>
      <w:pPr>
        <w:jc w:val="left"/>
      </w:pPr>
      <w:r>
        <w:t>Welche Ansprüche hat A gegen B? Prüfen Sie insbesondere den Kaufpreisanspruch (§ 433 Abs. 2 BGB), etwaige Verzugsfolgen (§§ 280 Abs. 1, 2, 286 BGB) und die Wirksamkeit der Aufrechnung (§§ 387 ff. BGB).</w:t>
      </w:r>
    </w:p>
    <w:p>
      <w:pPr>
        <w:jc w:val="left"/>
      </w:pPr>
      <w:r>
        <w:rPr>
          <w:b/>
        </w:rPr>
        <w:t>2. Ansprüche des B gegen C (nach Abtretung)</w:t>
      </w:r>
    </w:p>
    <w:p>
      <w:pPr>
        <w:jc w:val="left"/>
      </w:pPr>
      <w:r>
        <w:t>Welche Ansprüche hat B gegen C im Rahmen der Kaufrechtskette nach der Abtretung? Prüfen Sie, ob B gegenüber C Gewährleistungsrechte aus §§ 437, 634 BGB — insbesondere Rücktritt (§§ 437 Nr. 2, 323, 326 BGB) und Schadensersatz (§§ 437 Nr. 3, 280, 281 BGB) — geltend machen kann, und klären Sie das Verhältnis von Abtretung und Mängeleinrede (§ 404 BGB analog, § 986 BGB).</w:t>
      </w:r>
    </w:p>
    <w:p>
      <w:pPr>
        <w:jc w:val="left"/>
      </w:pPr>
      <w:r>
        <w:rPr>
          <w:b/>
        </w:rPr>
        <w:t>3. Prozessuale Aufrechnung</w:t>
      </w:r>
    </w:p>
    <w:p>
      <w:pPr>
        <w:jc w:val="left"/>
      </w:pPr>
      <w:r>
        <w:t>Ist Bs Aufrechnung prozessual relevant, wenn C klageweise vorgeht? Prüfen Sie die Voraussetzungen der Aufrechnung (§ 387 BGB) sowie die prozessuale Geltendmachung nach § 322 Abs. 2 ZPO.</w:t>
      </w:r>
    </w:p>
    <w:p/>
    <w:p>
      <w:pPr>
        <w:pStyle w:val="Heading2"/>
      </w:pPr>
      <w:r>
        <w:rPr>
          <w:rFonts w:ascii="Times New Roman" w:hAnsi="Times New Roman"/>
        </w:rPr>
        <w:t>Hinweise des Lehrstuhls (Aushang vom 10.03.2026)</w:t>
      </w:r>
    </w:p>
    <w:p>
      <w:pPr>
        <w:pStyle w:val="ListBullet"/>
      </w:pPr>
      <w:r>
        <w:t>Gutachtenstil ist zwingend; Urteilsstil nur im Obersatz zulässig.</w:t>
      </w:r>
    </w:p>
    <w:p>
      <w:pPr>
        <w:pStyle w:val="ListBullet"/>
      </w:pPr>
      <w:r>
        <w:t>Jeder Streitstand ist mit Meinungsstand, Argumenten und eigenem Ergebnis darzustellen.</w:t>
      </w:r>
    </w:p>
    <w:p>
      <w:pPr>
        <w:pStyle w:val="ListBullet"/>
      </w:pPr>
      <w:r>
        <w:t>Fundstellen: BGH, OLG-Urteile und Aufsätze in ZGS, NJW, JZ, AcP sind zu zitieren; BeckRS und juris-Rechtsprechungsdatenbank genügen nicht.</w:t>
      </w:r>
    </w:p>
    <w:p>
      <w:pPr>
        <w:pStyle w:val="ListBullet"/>
      </w:pPr>
      <w:r>
        <w:t>Seitenzahl: 25–30 Seiten; Über- oder Unterschreitung führt zu Punktabzug.</w:t>
      </w:r>
    </w:p>
    <w:p>
      <w:pPr>
        <w:pStyle w:val="ListBullet"/>
      </w:pPr>
      <w:r>
        <w:t>Abgabe ausschließlich in Papierform; E-Mail-Abgabe nicht zugelassen.</w:t>
      </w:r>
    </w:p>
    <w:p/>
    <w:p>
      <w:pPr>
        <w:pStyle w:val="Heading2"/>
      </w:pPr>
      <w:r>
        <w:rPr>
          <w:rFonts w:ascii="Times New Roman" w:hAnsi="Times New Roman"/>
        </w:rPr>
        <w:t>Beteiligte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Kürzel</w:t>
            </w:r>
          </w:p>
        </w:tc>
        <w:tc>
          <w:tcPr>
            <w:tcW w:type="dxa" w:w="3024"/>
          </w:tcPr>
          <w:p>
            <w:r>
              <w:rPr>
                <w:rFonts w:ascii="Times New Roman" w:hAnsi="Times New Roman"/>
                <w:b/>
                <w:sz w:val="20"/>
              </w:rPr>
              <w:t>Person / Unternehmen</w:t>
            </w:r>
          </w:p>
        </w:tc>
        <w:tc>
          <w:tcPr>
            <w:tcW w:type="dxa" w:w="3024"/>
          </w:tcPr>
          <w:p>
            <w:r>
              <w:rPr>
                <w:rFonts w:ascii="Times New Roman" w:hAnsi="Times New Roman"/>
                <w:b/>
                <w:sz w:val="20"/>
              </w:rPr>
              <w:t>Eigenschaft</w:t>
            </w:r>
          </w:p>
        </w:tc>
      </w:tr>
      <w:tr>
        <w:tc>
          <w:tcPr>
            <w:tcW w:type="dxa" w:w="3024"/>
          </w:tcPr>
          <w:p>
            <w:r>
              <w:rPr>
                <w:rFonts w:ascii="Times New Roman" w:hAnsi="Times New Roman"/>
                <w:sz w:val="20"/>
              </w:rPr>
              <w:t>A</w:t>
            </w:r>
          </w:p>
        </w:tc>
        <w:tc>
          <w:tcPr>
            <w:tcW w:type="dxa" w:w="3024"/>
          </w:tcPr>
          <w:p>
            <w:r>
              <w:rPr>
                <w:rFonts w:ascii="Times New Roman" w:hAnsi="Times New Roman"/>
                <w:sz w:val="20"/>
              </w:rPr>
              <w:t>Kunsthändler, Leipzig</w:t>
            </w:r>
          </w:p>
        </w:tc>
        <w:tc>
          <w:tcPr>
            <w:tcW w:type="dxa" w:w="3024"/>
          </w:tcPr>
          <w:p>
            <w:r>
              <w:rPr>
                <w:rFonts w:ascii="Times New Roman" w:hAnsi="Times New Roman"/>
                <w:sz w:val="20"/>
              </w:rPr>
              <w:t>Unternehmer (§ 14 BGB), Verkäufer</w:t>
            </w:r>
          </w:p>
        </w:tc>
      </w:tr>
      <w:tr>
        <w:tc>
          <w:tcPr>
            <w:tcW w:type="dxa" w:w="3024"/>
          </w:tcPr>
          <w:p>
            <w:r>
              <w:rPr>
                <w:rFonts w:ascii="Times New Roman" w:hAnsi="Times New Roman"/>
                <w:sz w:val="20"/>
              </w:rPr>
              <w:t>B</w:t>
            </w:r>
          </w:p>
        </w:tc>
        <w:tc>
          <w:tcPr>
            <w:tcW w:type="dxa" w:w="3024"/>
          </w:tcPr>
          <w:p>
            <w:r>
              <w:rPr>
                <w:rFonts w:ascii="Times New Roman" w:hAnsi="Times New Roman"/>
                <w:sz w:val="20"/>
              </w:rPr>
              <w:t>Privatmann, Dresden</w:t>
            </w:r>
          </w:p>
        </w:tc>
        <w:tc>
          <w:tcPr>
            <w:tcW w:type="dxa" w:w="3024"/>
          </w:tcPr>
          <w:p>
            <w:r>
              <w:rPr>
                <w:rFonts w:ascii="Times New Roman" w:hAnsi="Times New Roman"/>
                <w:sz w:val="20"/>
              </w:rPr>
              <w:t>Verbraucher (§ 13 BGB), Käufer</w:t>
            </w:r>
          </w:p>
        </w:tc>
      </w:tr>
      <w:tr>
        <w:tc>
          <w:tcPr>
            <w:tcW w:type="dxa" w:w="3024"/>
          </w:tcPr>
          <w:p>
            <w:r>
              <w:rPr>
                <w:rFonts w:ascii="Times New Roman" w:hAnsi="Times New Roman"/>
                <w:sz w:val="20"/>
              </w:rPr>
              <w:t>C</w:t>
            </w:r>
          </w:p>
        </w:tc>
        <w:tc>
          <w:tcPr>
            <w:tcW w:type="dxa" w:w="3024"/>
          </w:tcPr>
          <w:p>
            <w:r>
              <w:rPr>
                <w:rFonts w:ascii="Times New Roman" w:hAnsi="Times New Roman"/>
                <w:sz w:val="20"/>
              </w:rPr>
              <w:t>Inkassofirma, Halle (Saale)</w:t>
            </w:r>
          </w:p>
        </w:tc>
        <w:tc>
          <w:tcPr>
            <w:tcW w:type="dxa" w:w="3024"/>
          </w:tcPr>
          <w:p>
            <w:r>
              <w:rPr>
                <w:rFonts w:ascii="Times New Roman" w:hAnsi="Times New Roman"/>
                <w:sz w:val="20"/>
              </w:rPr>
              <w:t>Unternehmerin, Abtretungsempfängerin</w:t>
            </w:r>
          </w:p>
        </w:tc>
      </w:tr>
      <w:tr>
        <w:tc>
          <w:tcPr>
            <w:tcW w:type="dxa" w:w="3024"/>
          </w:tcPr>
          <w:p>
            <w:r>
              <w:rPr>
                <w:rFonts w:ascii="Times New Roman" w:hAnsi="Times New Roman"/>
                <w:sz w:val="20"/>
              </w:rPr>
              <w:t>Prof. Dr. Wandersleben</w:t>
            </w:r>
          </w:p>
        </w:tc>
        <w:tc>
          <w:tcPr>
            <w:tcW w:type="dxa" w:w="3024"/>
          </w:tcPr>
          <w:p>
            <w:r>
              <w:rPr>
                <w:rFonts w:ascii="Times New Roman" w:hAnsi="Times New Roman"/>
                <w:sz w:val="20"/>
              </w:rPr>
              <w:t>Prüfer</w:t>
            </w:r>
          </w:p>
        </w:tc>
        <w:tc>
          <w:tcPr>
            <w:tcW w:type="dxa" w:w="3024"/>
          </w:tcPr>
          <w:p>
            <w:r>
              <w:rPr>
                <w:rFonts w:ascii="Times New Roman" w:hAnsi="Times New Roman"/>
                <w:sz w:val="20"/>
              </w:rPr>
              <w:t>Lehrstuhlinhaber, Universität Leipzig</w:t>
            </w:r>
          </w:p>
        </w:tc>
      </w:tr>
    </w:tbl>
    <w:p/>
    <w:p>
      <w:pPr>
        <w:pStyle w:val="Heading2"/>
      </w:pPr>
      <w:r>
        <w:rPr>
          <w:rFonts w:ascii="Times New Roman" w:hAnsi="Times New Roman"/>
        </w:rPr>
        <w:t>Chronologie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10.03.2026</w:t>
            </w:r>
          </w:p>
        </w:tc>
        <w:tc>
          <w:tcPr>
            <w:tcW w:type="dxa" w:w="4536"/>
          </w:tcPr>
          <w:p>
            <w:r>
              <w:rPr>
                <w:rFonts w:ascii="Times New Roman" w:hAnsi="Times New Roman"/>
                <w:sz w:val="20"/>
              </w:rPr>
              <w:t>Abschluss Kaufvertrag A–B über Vermeer-Replik, 4.800 Euro</w:t>
            </w:r>
          </w:p>
        </w:tc>
      </w:tr>
      <w:tr>
        <w:tc>
          <w:tcPr>
            <w:tcW w:type="dxa" w:w="4536"/>
          </w:tcPr>
          <w:p>
            <w:r>
              <w:rPr>
                <w:rFonts w:ascii="Times New Roman" w:hAnsi="Times New Roman"/>
                <w:sz w:val="20"/>
              </w:rPr>
              <w:t>01.04.2026</w:t>
            </w:r>
          </w:p>
        </w:tc>
        <w:tc>
          <w:tcPr>
            <w:tcW w:type="dxa" w:w="4536"/>
          </w:tcPr>
          <w:p>
            <w:r>
              <w:rPr>
                <w:rFonts w:ascii="Times New Roman" w:hAnsi="Times New Roman"/>
                <w:sz w:val="20"/>
              </w:rPr>
              <w:t>Vereinbarte Übergabe; B rügt Farbabplatzung</w:t>
            </w:r>
          </w:p>
        </w:tc>
      </w:tr>
      <w:tr>
        <w:tc>
          <w:tcPr>
            <w:tcW w:type="dxa" w:w="4536"/>
          </w:tcPr>
          <w:p>
            <w:r>
              <w:rPr>
                <w:rFonts w:ascii="Times New Roman" w:hAnsi="Times New Roman"/>
                <w:sz w:val="20"/>
              </w:rPr>
              <w:t>01.04.2026</w:t>
            </w:r>
          </w:p>
        </w:tc>
        <w:tc>
          <w:tcPr>
            <w:tcW w:type="dxa" w:w="4536"/>
          </w:tcPr>
          <w:p>
            <w:r>
              <w:rPr>
                <w:rFonts w:ascii="Times New Roman" w:hAnsi="Times New Roman"/>
                <w:sz w:val="20"/>
              </w:rPr>
              <w:t>A lehnt Nachbesserung ab</w:t>
            </w:r>
          </w:p>
        </w:tc>
      </w:tr>
      <w:tr>
        <w:tc>
          <w:tcPr>
            <w:tcW w:type="dxa" w:w="4536"/>
          </w:tcPr>
          <w:p>
            <w:r>
              <w:rPr>
                <w:rFonts w:ascii="Times New Roman" w:hAnsi="Times New Roman"/>
                <w:sz w:val="20"/>
              </w:rPr>
              <w:t>10.04.2026</w:t>
            </w:r>
          </w:p>
        </w:tc>
        <w:tc>
          <w:tcPr>
            <w:tcW w:type="dxa" w:w="4536"/>
          </w:tcPr>
          <w:p>
            <w:r>
              <w:rPr>
                <w:rFonts w:ascii="Times New Roman" w:hAnsi="Times New Roman"/>
                <w:sz w:val="20"/>
              </w:rPr>
              <w:t>B erklärt schriftlich Aufrechnung mit Darlehensgegenforderung 2.200 Euro</w:t>
            </w:r>
          </w:p>
        </w:tc>
      </w:tr>
      <w:tr>
        <w:tc>
          <w:tcPr>
            <w:tcW w:type="dxa" w:w="4536"/>
          </w:tcPr>
          <w:p>
            <w:r>
              <w:rPr>
                <w:rFonts w:ascii="Times New Roman" w:hAnsi="Times New Roman"/>
                <w:sz w:val="20"/>
              </w:rPr>
              <w:t>15.04.2026</w:t>
            </w:r>
          </w:p>
        </w:tc>
        <w:tc>
          <w:tcPr>
            <w:tcW w:type="dxa" w:w="4536"/>
          </w:tcPr>
          <w:p>
            <w:r>
              <w:rPr>
                <w:rFonts w:ascii="Times New Roman" w:hAnsi="Times New Roman"/>
                <w:sz w:val="20"/>
              </w:rPr>
              <w:t>A tritt Kaufpreisforderung gegen B an C ab; Abtretungsanzeige an B</w:t>
            </w:r>
          </w:p>
        </w:tc>
      </w:tr>
      <w:tr>
        <w:tc>
          <w:tcPr>
            <w:tcW w:type="dxa" w:w="4536"/>
          </w:tcPr>
          <w:p>
            <w:r>
              <w:rPr>
                <w:rFonts w:ascii="Times New Roman" w:hAnsi="Times New Roman"/>
                <w:sz w:val="20"/>
              </w:rPr>
              <w:t>22.04.2026</w:t>
            </w:r>
          </w:p>
        </w:tc>
        <w:tc>
          <w:tcPr>
            <w:tcW w:type="dxa" w:w="4536"/>
          </w:tcPr>
          <w:p>
            <w:r>
              <w:rPr>
                <w:rFonts w:ascii="Times New Roman" w:hAnsi="Times New Roman"/>
                <w:sz w:val="20"/>
              </w:rPr>
              <w:t>C nimmt B gerichtlich auf 4.800 Euro in Anspruch</w:t>
            </w:r>
          </w:p>
        </w:tc>
      </w:tr>
    </w:tbl>
    <w:p/>
    <w:p>
      <w:pPr>
        <w:jc w:val="left"/>
      </w:pPr>
      <w:r>
        <w:rPr>
          <w:i/>
        </w:rPr>
        <w:t>Aktenstück 01 von 22 — Sachverhalt und Aufgabenstellung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