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Problemkreis-Übersicht und Aufgabenanalyse</w:t>
      </w:r>
    </w:p>
    <w:p>
      <w:pPr>
        <w:jc w:val="left"/>
      </w:pPr>
      <w:r>
        <w:rPr>
          <w:b/>
        </w:rPr>
        <w:t>Bearbeiter:</w:t>
      </w:r>
      <w:r>
        <w:t xml:space="preserve"> Konrad Pohlmann, 7. Semester</w:t>
      </w:r>
    </w:p>
    <w:p>
      <w:pPr>
        <w:jc w:val="left"/>
      </w:pPr>
      <w:r>
        <w:rPr>
          <w:b/>
        </w:rPr>
        <w:t>Stand:</w:t>
      </w:r>
      <w:r>
        <w:t xml:space="preserve"> 14.04.2026 (Notizen nach erster Lektüre des Sachverhalts)</w:t>
      </w:r>
    </w:p>
    <w:p/>
    <w:p>
      <w:pPr>
        <w:pStyle w:val="Heading2"/>
      </w:pPr>
      <w:r>
        <w:rPr>
          <w:rFonts w:ascii="Times New Roman" w:hAnsi="Times New Roman"/>
        </w:rPr>
        <w:t>Erste Lektüre: Identifizierte Rechtsprobleme</w:t>
      </w:r>
    </w:p>
    <w:p>
      <w:pPr>
        <w:jc w:val="left"/>
      </w:pPr>
      <w:r>
        <w:t>Nach dreimaliger Durchsicht des Sachverhalts habe ich folgende Problemkreise identifiziert. Die Reihenfolge entspricht noch nicht der Gutachtenstruktur, sondern der Reihenfolge des Auftauchens im Sachverhalt.</w:t>
      </w:r>
    </w:p>
    <w:p/>
    <w:p>
      <w:pPr>
        <w:pStyle w:val="Heading2"/>
      </w:pPr>
      <w:r>
        <w:rPr>
          <w:rFonts w:ascii="Times New Roman" w:hAnsi="Times New Roman"/>
        </w:rPr>
        <w:t>Problemkreis 1 — Kaufpreisanspruch A gegen B (§ 433 Abs. 2 BGB)</w:t>
      </w:r>
    </w:p>
    <w:p>
      <w:pPr>
        <w:jc w:val="left"/>
      </w:pPr>
      <w:r>
        <w:rPr>
          <w:b/>
        </w:rPr>
        <w:t>Kernfrage:</w:t>
      </w:r>
      <w:r>
        <w:t xml:space="preserve"> Besteht der Kaufpreisanspruch des A in voller Höhe (4.800 Euro), oder ist er durch Aufrechnung teilweise erloschen?</w:t>
      </w:r>
    </w:p>
    <w:p>
      <w:pPr>
        <w:jc w:val="left"/>
      </w:pPr>
      <w:r>
        <w:rPr>
          <w:b/>
        </w:rPr>
        <w:t>Unterprobleme:</w:t>
      </w:r>
    </w:p>
    <w:p>
      <w:pPr>
        <w:pStyle w:val="ListNumber"/>
      </w:pPr>
      <w:r>
        <w:t>Wirksamer Kaufvertrag? (Einigung, Form, Dissens?)</w:t>
      </w:r>
    </w:p>
    <w:p>
      <w:pPr>
        <w:pStyle w:val="ListNumber"/>
      </w:pPr>
      <w:r>
        <w:t>Verbrauchsgüterkauf gemäß § 474 Abs. 1 BGB? (A = Unternehmer, B = Verbraucher, bewegliche Sache)</w:t>
      </w:r>
    </w:p>
    <w:p>
      <w:pPr>
        <w:pStyle w:val="ListNumber"/>
      </w:pPr>
      <w:r>
        <w:t>Fälligkeit des Kaufpreises (§ 271 BGB)</w:t>
      </w:r>
    </w:p>
    <w:p>
      <w:pPr>
        <w:pStyle w:val="ListNumber"/>
      </w:pPr>
      <w:r>
        <w:t>Aufrechnung wirksam? Aufrechnungslage (§ 387 BGB): Gegenseitigkeit, Gleichartigkeit, Fälligkeit, Erfüllbarkeit</w:t>
      </w:r>
    </w:p>
    <w:p>
      <w:pPr>
        <w:pStyle w:val="ListNumber"/>
      </w:pPr>
      <w:r>
        <w:t>Aufrechnungsverbot? (§§ 393, 394, 242 BGB — hier nicht einschlägig, aber zu erwähnen)</w:t>
      </w:r>
    </w:p>
    <w:p>
      <w:pPr>
        <w:pStyle w:val="ListNumber"/>
      </w:pPr>
      <w:r>
        <w:t>Wirkung der Aufrechnung ex tunc oder ex nunc? (§ 389 BGB — Streitstand!)</w:t>
      </w:r>
    </w:p>
    <w:p>
      <w:pPr>
        <w:pStyle w:val="ListNumber"/>
      </w:pPr>
      <w:r>
        <w:t>Höhe des nach Aufrechnung verbleibenden Anspruchs: 4.800 − 2.200 = 2.600 Euro</w:t>
      </w:r>
    </w:p>
    <w:p>
      <w:pPr>
        <w:jc w:val="left"/>
      </w:pPr>
      <w:r>
        <w:rPr>
          <w:b/>
        </w:rPr>
        <w:t>Streitstand-Kandidaten:</w:t>
      </w:r>
    </w:p>
    <w:p>
      <w:pPr>
        <w:pStyle w:val="ListBullet"/>
      </w:pPr>
      <w:r>
        <w:t>Rückwirkung der Aufrechnung nach § 389 BGB: herrschende Meinung vs. Mindermeinung</w:t>
      </w:r>
    </w:p>
    <w:p>
      <w:pPr>
        <w:pStyle w:val="ListBullet"/>
      </w:pPr>
      <w:r>
        <w:t>Aufrechnung gegen abgetretene Forderung nach Abtretungsanzeige (§ 406 BGB)</w:t>
      </w:r>
    </w:p>
    <w:p/>
    <w:p>
      <w:pPr>
        <w:pStyle w:val="Heading2"/>
      </w:pPr>
      <w:r>
        <w:rPr>
          <w:rFonts w:ascii="Times New Roman" w:hAnsi="Times New Roman"/>
        </w:rPr>
        <w:t>Problemkreis 2 — Schlechtleistung / Sachmangel (§§ 434, 437 BGB)</w:t>
      </w:r>
    </w:p>
    <w:p>
      <w:pPr>
        <w:jc w:val="left"/>
      </w:pPr>
      <w:r>
        <w:rPr>
          <w:b/>
        </w:rPr>
        <w:t>Kernfrage:</w:t>
      </w:r>
      <w:r>
        <w:t xml:space="preserve"> Liegt ein Sachmangel (Farbabplatzung) vor, und welche Rechte stehen B deswegen zu?</w:t>
      </w:r>
    </w:p>
    <w:p>
      <w:pPr>
        <w:jc w:val="left"/>
      </w:pPr>
      <w:r>
        <w:rPr>
          <w:b/>
        </w:rPr>
        <w:t>Unterprobleme:</w:t>
      </w:r>
    </w:p>
    <w:p>
      <w:pPr>
        <w:pStyle w:val="ListNumber"/>
      </w:pPr>
      <w:r>
        <w:t>Sachmangel nach § 434 BGB: Ist-Beschaffenheit (Farbabplatzung) vs. Soll-Beschaffenheit (vertraglich vereinbarter Zustand)</w:t>
      </w:r>
    </w:p>
    <w:p>
      <w:pPr>
        <w:pStyle w:val="ListNumber"/>
      </w:pPr>
      <w:r>
        <w:t>Mangel bei Gefahrübergang (§ 446 BGB)? Zeitpunkt der Übergabe = 01.04.2026; Mangel wurde bei Übergabe erkannt — Mangel lag bei Gefahrübergang vor</w:t>
      </w:r>
    </w:p>
    <w:p>
      <w:pPr>
        <w:pStyle w:val="ListNumber"/>
      </w:pPr>
      <w:r>
        <w:t>Nacherfüllungsanspruch (§ 439 BGB): Nachbesserung oder Nachlieferung?</w:t>
      </w:r>
    </w:p>
    <w:p>
      <w:pPr>
        <w:pStyle w:val="ListNumber"/>
      </w:pPr>
      <w:r>
        <w:t>A hat Nachbesserung verweigert — Entbehrlichkeit der Fristsetzung?</w:t>
      </w:r>
    </w:p>
    <w:p>
      <w:pPr>
        <w:pStyle w:val="ListNumber"/>
      </w:pPr>
      <w:r>
        <w:t>Rücktritt (§§ 437 Nr. 2, 323 BGB): Fristsetzung, Erheblichkeit des Mangels</w:t>
      </w:r>
    </w:p>
    <w:p>
      <w:pPr>
        <w:pStyle w:val="ListNumber"/>
      </w:pPr>
      <w:r>
        <w:t>Schadensersatz (§§ 437 Nr. 3, 280, 281 BGB): Vertretenmüssen des A?</w:t>
      </w:r>
    </w:p>
    <w:p/>
    <w:p>
      <w:pPr>
        <w:pStyle w:val="Heading2"/>
      </w:pPr>
      <w:r>
        <w:rPr>
          <w:rFonts w:ascii="Times New Roman" w:hAnsi="Times New Roman"/>
        </w:rPr>
        <w:t>Problemkreis 3 — Verzug des B (§§ 286, 280 Abs. 2 BGB)</w:t>
      </w:r>
    </w:p>
    <w:p>
      <w:pPr>
        <w:jc w:val="left"/>
      </w:pPr>
      <w:r>
        <w:rPr>
          <w:b/>
        </w:rPr>
        <w:t>Kernfrage:</w:t>
      </w:r>
      <w:r>
        <w:t xml:space="preserve"> Ist B mit der Kaufpreiszahlung in Verzug geraten, und welche Rechtsfolgen hat das?</w:t>
      </w:r>
    </w:p>
    <w:p>
      <w:pPr>
        <w:jc w:val="left"/>
      </w:pPr>
      <w:r>
        <w:rPr>
          <w:b/>
        </w:rPr>
        <w:t>Unterprobleme:</w:t>
      </w:r>
    </w:p>
    <w:p>
      <w:pPr>
        <w:pStyle w:val="ListNumber"/>
      </w:pPr>
      <w:r>
        <w:t>Mahnung (§ 286 Abs. 1 BGB) oder automatischer Verzug (§ 286 Abs. 2 BGB)?</w:t>
      </w:r>
    </w:p>
    <w:p>
      <w:pPr>
        <w:pStyle w:val="ListNumber"/>
      </w:pPr>
      <w:r>
        <w:t>Im Sachverhalt: Keine Mahnung des A ausdrücklich erwähnt. Prüfen: Ist der Leistungszeitpunkt kalendarisch bestimmt?</w:t>
      </w:r>
    </w:p>
    <w:p>
      <w:pPr>
        <w:pStyle w:val="ListNumber"/>
      </w:pPr>
      <w:r>
        <w:t>Vertretenmüssen des Schuldners (§ 286 Abs. 4 BGB): B beruft sich auf die Gegenforderung — berechtigt (Aufrechnungslage) oder unberechtigte Einrede?</w:t>
      </w:r>
    </w:p>
    <w:p>
      <w:pPr>
        <w:pStyle w:val="ListNumber"/>
      </w:pPr>
      <w:r>
        <w:t>Wenn Aufrechnung wirksam: Verzug für den erloschenen Teil entfällt rückwirkend (§ 389 BGB)</w:t>
      </w:r>
    </w:p>
    <w:p>
      <w:pPr>
        <w:pStyle w:val="ListNumber"/>
      </w:pPr>
      <w:r>
        <w:t>Verzugszinsen (§ 288 BGB): Höhe bei Verbrauchergeschäft vs. Unternehmergeschäft</w:t>
      </w:r>
    </w:p>
    <w:p/>
    <w:p>
      <w:pPr>
        <w:pStyle w:val="Heading2"/>
      </w:pPr>
      <w:r>
        <w:rPr>
          <w:rFonts w:ascii="Times New Roman" w:hAnsi="Times New Roman"/>
        </w:rPr>
        <w:t>Problemkreis 4 — Abtretung und Ansprüche B gegen C (§§ 398 ff., 404 BGB)</w:t>
      </w:r>
    </w:p>
    <w:p>
      <w:pPr>
        <w:jc w:val="left"/>
      </w:pPr>
      <w:r>
        <w:rPr>
          <w:b/>
        </w:rPr>
        <w:t>Kernfrage:</w:t>
      </w:r>
      <w:r>
        <w:t xml:space="preserve"> Was kann B der C entgegenhalten, nachdem die Kaufpreisforderung abgetreten wurde?</w:t>
      </w:r>
    </w:p>
    <w:p>
      <w:pPr>
        <w:jc w:val="left"/>
      </w:pPr>
      <w:r>
        <w:rPr>
          <w:b/>
        </w:rPr>
        <w:t>Unterprobleme:</w:t>
      </w:r>
    </w:p>
    <w:p>
      <w:pPr>
        <w:pStyle w:val="ListNumber"/>
      </w:pPr>
      <w:r>
        <w:t>Wirksame Abtretung A an C (§ 398 BGB)? Bestimmtheitsgrundsatz, Kein Abtretungsverbot</w:t>
      </w:r>
    </w:p>
    <w:p>
      <w:pPr>
        <w:pStyle w:val="ListNumber"/>
      </w:pPr>
      <w:r>
        <w:t>§ 404 BGB: B kann C alle Einwendungen entgegenhalten, die B im Zeitpunkt der Abtretung dem A gegenüber hatte</w:t>
      </w:r>
    </w:p>
    <w:p>
      <w:pPr>
        <w:pStyle w:val="ListNumber"/>
      </w:pPr>
      <w:r>
        <w:t>Aufrechnung nach Abtretung: § 406 BGB — Aufrechnung gegenüber neuem Gläubiger zulässig, wenn Gegenforderung vor Abtretungsanzeige entstanden</w:t>
      </w:r>
    </w:p>
    <w:p>
      <w:pPr>
        <w:pStyle w:val="ListNumber"/>
      </w:pPr>
      <w:r>
        <w:t>Mängelrechte des B gegenüber C? Hier ist C nicht Verkäuferin — B hat keine Gewährleistungsansprüche gegen C aus dem Kaufvertrag. Aber: § 404 BGB — B kann Einwendungen aus dem Kaufvertrag (Mängeleinrede, Leistungsverweigerungsrecht) gegenüber C geltend machen.</w:t>
      </w:r>
    </w:p>
    <w:p/>
    <w:p>
      <w:pPr>
        <w:pStyle w:val="Heading2"/>
      </w:pPr>
      <w:r>
        <w:rPr>
          <w:rFonts w:ascii="Times New Roman" w:hAnsi="Times New Roman"/>
        </w:rPr>
        <w:t>Problemkreis 5 — Prozessuale Aufrechnung (§ 322 Abs. 2 ZPO)</w:t>
      </w:r>
    </w:p>
    <w:p>
      <w:pPr>
        <w:jc w:val="left"/>
      </w:pPr>
      <w:r>
        <w:rPr>
          <w:b/>
        </w:rPr>
        <w:t>Kernfrage:</w:t>
      </w:r>
      <w:r>
        <w:t xml:space="preserve"> Welche prozessrechtlichen Besonderheiten gelten, wenn B die Aufrechnung im Prozess erklärt?</w:t>
      </w:r>
    </w:p>
    <w:p>
      <w:pPr>
        <w:jc w:val="left"/>
      </w:pPr>
      <w:r>
        <w:rPr>
          <w:b/>
        </w:rPr>
        <w:t>Unterprobleme:</w:t>
      </w:r>
    </w:p>
    <w:p>
      <w:pPr>
        <w:pStyle w:val="ListNumber"/>
      </w:pPr>
      <w:r>
        <w:t>Rechtskraft der Entscheidung über die Gegenforderung (§ 322 Abs. 2 ZPO)</w:t>
      </w:r>
    </w:p>
    <w:p>
      <w:pPr>
        <w:pStyle w:val="ListNumber"/>
      </w:pPr>
      <w:r>
        <w:t>Hilfsaufrechnung vs. unbedingte Aufrechnung: Einfluss auf Entscheidungsstruktur</w:t>
      </w:r>
    </w:p>
    <w:p>
      <w:pPr>
        <w:pStyle w:val="ListNumber"/>
      </w:pPr>
      <w:r>
        <w:t>Aufrechnung mit bestrittener Gegenforderung</w:t>
      </w:r>
    </w:p>
    <w:p>
      <w:pPr>
        <w:pStyle w:val="ListNumber"/>
      </w:pPr>
      <w:r>
        <w:t>Eventualaufrechnung im Prozess</w:t>
      </w:r>
    </w:p>
    <w:p/>
    <w:p>
      <w:pPr>
        <w:pStyle w:val="Heading2"/>
      </w:pPr>
      <w:r>
        <w:rPr>
          <w:rFonts w:ascii="Times New Roman" w:hAnsi="Times New Roman"/>
        </w:rPr>
        <w:t>Strukturierungsvorschlag</w:t>
      </w:r>
    </w:p>
    <w:p>
      <w:pPr>
        <w:jc w:val="left"/>
      </w:pPr>
      <w:r>
        <w:t>Ich werde die Arbeit in drei große Abschnitte gliedern:</w:t>
      </w:r>
    </w:p>
    <w:p>
      <w:pPr>
        <w:jc w:val="left"/>
      </w:pPr>
      <w:r>
        <w:t>```</w:t>
      </w:r>
    </w:p>
    <w:p>
      <w:pPr>
        <w:jc w:val="left"/>
      </w:pPr>
      <w:r>
        <w:t>A. Ansprüche des A gegen B</w:t>
      </w:r>
    </w:p>
    <w:p>
      <w:pPr>
        <w:jc w:val="left"/>
      </w:pPr>
      <w:r>
        <w:t>I.  Kaufpreisanspruch § 433 Abs. 2 BGB</w:t>
      </w:r>
    </w:p>
    <w:p>
      <w:pPr>
        <w:pStyle w:val="ListNumber"/>
      </w:pPr>
      <w:r>
        <w:t>Anspruch entstanden</w:t>
      </w:r>
    </w:p>
    <w:p>
      <w:pPr>
        <w:pStyle w:val="ListNumber"/>
      </w:pPr>
      <w:r>
        <w:t>Anspruch erloschen (Aufrechnung § 389 BGB)?</w:t>
      </w:r>
    </w:p>
    <w:p>
      <w:pPr>
        <w:pStyle w:val="ListNumber"/>
      </w:pPr>
      <w:r>
        <w:t>Ergebnis</w:t>
      </w:r>
    </w:p>
    <w:p>
      <w:pPr>
        <w:jc w:val="left"/>
      </w:pPr>
      <w:r>
        <w:t>II. Verzugsschadensersatz §§ 280 I, II, 286 BGB</w:t>
      </w:r>
    </w:p>
    <w:p>
      <w:pPr>
        <w:jc w:val="left"/>
      </w:pPr>
      <w:r>
        <w:t>III. Gesamtergebnis A gegen B</w:t>
      </w:r>
    </w:p>
    <w:p>
      <w:pPr>
        <w:jc w:val="left"/>
      </w:pPr>
      <w:r>
        <w:t>B. Ansprüche des B gegen [A/C] nach Abtretung</w:t>
      </w:r>
    </w:p>
    <w:p>
      <w:pPr>
        <w:jc w:val="left"/>
      </w:pPr>
      <w:r>
        <w:t>I.  Mängelrechte B gegen A</w:t>
      </w:r>
    </w:p>
    <w:p>
      <w:pPr>
        <w:pStyle w:val="ListNumber"/>
      </w:pPr>
      <w:r>
        <w:t>Sachmangel § 434 BGB</w:t>
      </w:r>
    </w:p>
    <w:p>
      <w:pPr>
        <w:pStyle w:val="ListNumber"/>
      </w:pPr>
      <w:r>
        <w:t>Nacherfüllung § 439 BGB</w:t>
      </w:r>
    </w:p>
    <w:p>
      <w:pPr>
        <w:pStyle w:val="ListNumber"/>
      </w:pPr>
      <w:r>
        <w:t>Rücktritt §§ 437 Nr. 2, 323 BGB</w:t>
      </w:r>
    </w:p>
    <w:p>
      <w:pPr>
        <w:pStyle w:val="ListNumber"/>
      </w:pPr>
      <w:r>
        <w:t>Schadensersatz §§ 437 Nr. 3, 280, 281 BGB</w:t>
      </w:r>
    </w:p>
    <w:p>
      <w:pPr>
        <w:jc w:val="left"/>
      </w:pPr>
      <w:r>
        <w:t>II. Einwendungen B gegen C (§ 404 BGB)</w:t>
      </w:r>
    </w:p>
    <w:p>
      <w:pPr>
        <w:jc w:val="left"/>
      </w:pPr>
      <w:r>
        <w:t>III. Aufrechnung B gegenüber C (§ 406 BGB)</w:t>
      </w:r>
    </w:p>
    <w:p>
      <w:pPr>
        <w:jc w:val="left"/>
      </w:pPr>
      <w:r>
        <w:t>C. Prozessuale Aufrechnung (§ 322 Abs. 2 ZPO)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Zeitplanung Pohlmann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Geplanter Zeitraum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Sachverhalt-Analyse, Problemliste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14.–16.04.2026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Gliederungsentwurf, Literaturrecherche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17.–22.04.2026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Subsumtionsskizzen je Anspruch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23.04.–03.05.2026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Erstentwurf (rough draft)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04.–15.05.2026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Korrekturlauf, Zitatkontrolle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16.–28.05.2026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Reinschrift, Formatierung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29.05.–04.06.2026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</w:tr>
    </w:tbl>
    <w:p/>
    <w:p>
      <w:pPr>
        <w:jc w:val="left"/>
      </w:pPr>
      <w:r>
        <w:rPr>
          <w:i/>
        </w:rPr>
        <w:t>Aktenstück 02 von 22 — Problemkreis-Übersicht und Aufgabenanalyse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