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Aufrechnung: § 387 BGB — Voraussetzungen und Streitstände</w:t>
      </w:r>
    </w:p>
    <w:p>
      <w:pPr>
        <w:jc w:val="left"/>
      </w:pPr>
      <w:r>
        <w:rPr>
          <w:b/>
        </w:rPr>
        <w:t>Bearbeiter:</w:t>
      </w:r>
      <w:r>
        <w:t xml:space="preserve"> Konrad Pohlmann</w:t>
      </w:r>
    </w:p>
    <w:p>
      <w:pPr>
        <w:jc w:val="left"/>
      </w:pPr>
      <w:r>
        <w:rPr>
          <w:b/>
        </w:rPr>
        <w:t>Stand:</w:t>
      </w:r>
      <w:r>
        <w:t xml:space="preserve"> 19.04.2026</w:t>
      </w:r>
    </w:p>
    <w:p/>
    <w:p>
      <w:pPr>
        <w:pStyle w:val="Heading2"/>
      </w:pPr>
      <w:r>
        <w:rPr>
          <w:rFonts w:ascii="Times New Roman" w:hAnsi="Times New Roman"/>
        </w:rPr>
        <w:t>Normtext § 387 BGB</w:t>
      </w:r>
    </w:p>
    <w:p>
      <w:pPr>
        <w:ind w:left="567"/>
      </w:pPr>
      <w:r>
        <w:rPr>
          <w:i/>
        </w:rPr>
        <w:t>„Schulden zwei Personen einander Leistungen, die ihrem Gegenstand nach gleichartig sind, so kann jeder Teil seine Forderung gegen die Forderung des anderen Teils aufrechnen, sobald er die ihm gebührende Leistung fordern und die ihm obliegende Leistung bewirken kann."</w:t>
      </w:r>
    </w:p>
    <w:p/>
    <w:p>
      <w:pPr>
        <w:pStyle w:val="Heading2"/>
      </w:pPr>
      <w:r>
        <w:rPr>
          <w:rFonts w:ascii="Times New Roman" w:hAnsi="Times New Roman"/>
        </w:rPr>
        <w:t>Voraussetzungen der Aufrechnung im Überblick</w:t>
      </w:r>
    </w:p>
    <w:p>
      <w:pPr>
        <w:jc w:val="left"/>
      </w:pPr>
      <w:r>
        <w:t xml:space="preserve">Die Aufrechnung (§§ 387–396 BGB) setzt eine sogenannte </w:t>
      </w:r>
      <w:r>
        <w:rPr>
          <w:b/>
        </w:rPr>
        <w:t>Aufrechnungslage</w:t>
      </w:r>
      <w:r>
        <w:t xml:space="preserve"> voraus, die aus vier Elementen besteht:</w:t>
      </w:r>
    </w:p>
    <w:p>
      <w:pPr>
        <w:pStyle w:val="ListNumber"/>
      </w:pPr>
      <w:r>
        <w:rPr>
          <w:b/>
        </w:rPr>
        <w:t>Gegenseitigkeit</w:t>
      </w:r>
      <w:r>
        <w:t xml:space="preserve"> der Forderungen</w:t>
      </w:r>
    </w:p>
    <w:p>
      <w:pPr>
        <w:pStyle w:val="ListNumber"/>
      </w:pPr>
      <w:r>
        <w:rPr>
          <w:b/>
        </w:rPr>
        <w:t>Gleichartigkeit</w:t>
      </w:r>
      <w:r>
        <w:t xml:space="preserve"> des Leistungsgegenstands</w:t>
      </w:r>
    </w:p>
    <w:p>
      <w:pPr>
        <w:pStyle w:val="ListNumber"/>
      </w:pPr>
      <w:r>
        <w:rPr>
          <w:b/>
        </w:rPr>
        <w:t>Fälligkeit</w:t>
      </w:r>
      <w:r>
        <w:t xml:space="preserve"> der Gegenforderung (des Aufrechnenden)</w:t>
      </w:r>
    </w:p>
    <w:p>
      <w:pPr>
        <w:pStyle w:val="ListNumber"/>
      </w:pPr>
      <w:r>
        <w:rPr>
          <w:b/>
        </w:rPr>
        <w:t>Erfüllbarkeit</w:t>
      </w:r>
      <w:r>
        <w:t xml:space="preserve"> der Hauptforderung (des Aufrechnungsgegners)</w:t>
      </w:r>
    </w:p>
    <w:p>
      <w:pPr>
        <w:jc w:val="left"/>
      </w:pPr>
      <w:r>
        <w:t>Hinzu kommen:</w:t>
      </w:r>
    </w:p>
    <w:p>
      <w:pPr>
        <w:pStyle w:val="ListNumber"/>
      </w:pPr>
      <w:r>
        <w:rPr>
          <w:b/>
        </w:rPr>
        <w:t>Aufrechnungserklärung</w:t>
      </w:r>
      <w:r>
        <w:t xml:space="preserve"> (§ 388 BGB) — einseitige, empfangsbedürftige, bedingungsfeindliche Willenserklärung</w:t>
      </w:r>
    </w:p>
    <w:p>
      <w:pPr>
        <w:pStyle w:val="ListNumber"/>
      </w:pPr>
      <w:r>
        <w:rPr>
          <w:b/>
        </w:rPr>
        <w:t>Kein Aufrechnungsverbot</w:t>
      </w:r>
      <w:r>
        <w:t xml:space="preserve"> (§§ 390, 393, 394 BGB; vertraglich; § 242 BGB)</w:t>
      </w:r>
    </w:p>
    <w:p/>
    <w:p>
      <w:pPr>
        <w:pStyle w:val="Heading2"/>
      </w:pPr>
      <w:r>
        <w:rPr>
          <w:rFonts w:ascii="Times New Roman" w:hAnsi="Times New Roman"/>
        </w:rPr>
        <w:t>I. Gegenseitigkeit (§ 387 BGB)</w:t>
      </w:r>
    </w:p>
    <w:p>
      <w:pPr>
        <w:pStyle w:val="Heading3"/>
      </w:pPr>
      <w:r>
        <w:rPr>
          <w:rFonts w:ascii="Times New Roman" w:hAnsi="Times New Roman"/>
        </w:rPr>
        <w:t>Tatbestandsmerkmal</w:t>
      </w:r>
    </w:p>
    <w:p>
      <w:pPr>
        <w:jc w:val="left"/>
      </w:pPr>
      <w:r>
        <w:t>Jede Partei muss Gläubigerin der anderen und Schuldnerin der anderen sein: A ist Gläubiger der Kaufpreisforderung, B ist deren Schuldner; zugleich ist B Gläubiger der Darlehensgegenforderung gegen A, A deren Schuldner. Dieses Überkreuzverhältnis ist das Kernmerkmal.</w:t>
      </w:r>
    </w:p>
    <w:p>
      <w:pPr>
        <w:pStyle w:val="Heading3"/>
      </w:pPr>
      <w:r>
        <w:rPr>
          <w:rFonts w:ascii="Times New Roman" w:hAnsi="Times New Roman"/>
        </w:rPr>
        <w:t>Sachverhaltssubsumtion</w:t>
      </w:r>
    </w:p>
    <w:p>
      <w:pPr>
        <w:pStyle w:val="ListBullet"/>
      </w:pPr>
      <w:r>
        <w:t>Hauptforderung: A gegen B aus § 433 Abs. 2 BGB auf 4.800 Euro ✓</w:t>
      </w:r>
    </w:p>
    <w:p>
      <w:pPr>
        <w:pStyle w:val="ListBullet"/>
      </w:pPr>
      <w:r>
        <w:t>Gegenforderung: B gegen A aus Darlehen auf 2.200 Euro ✓</w:t>
      </w:r>
    </w:p>
    <w:p>
      <w:pPr>
        <w:pStyle w:val="ListBullet"/>
      </w:pPr>
      <w:r>
        <w:t>Gegenseitigkeit (+)</w:t>
      </w:r>
    </w:p>
    <w:p>
      <w:pPr>
        <w:pStyle w:val="Heading3"/>
      </w:pPr>
      <w:r>
        <w:rPr>
          <w:rFonts w:ascii="Times New Roman" w:hAnsi="Times New Roman"/>
        </w:rPr>
        <w:t>Streitstand: Gegenseitigkeit bei Gesamtschuldnern / Zession</w:t>
      </w:r>
    </w:p>
    <w:p>
      <w:pPr>
        <w:jc w:val="left"/>
      </w:pPr>
      <w:r>
        <w:t xml:space="preserve">Problematisch wird die Gegenseitigkeit, wenn eine Forderung an Dritte abgetreten wird. Nach der Abtretung an C (§ 398 BGB) entfällt die Gegenseitigkeit für künftige Aufrechnungen des B. Da B die Aufrechnung jedoch bereits am 10.04.2026 — </w:t>
      </w:r>
      <w:r>
        <w:rPr>
          <w:b/>
        </w:rPr>
        <w:t>vor</w:t>
      </w:r>
      <w:r>
        <w:t xml:space="preserve"> der Abtretungsanzeige am 15.04.2026 — erklärt hat, greift § 404 BGB (vgl. dazu Aktenstück 04).</w:t>
      </w:r>
    </w:p>
    <w:p/>
    <w:p>
      <w:pPr>
        <w:pStyle w:val="Heading2"/>
      </w:pPr>
      <w:r>
        <w:rPr>
          <w:rFonts w:ascii="Times New Roman" w:hAnsi="Times New Roman"/>
        </w:rPr>
        <w:t>II. Gleichartigkeit (§ 387 BGB)</w:t>
      </w:r>
    </w:p>
    <w:p>
      <w:pPr>
        <w:jc w:val="left"/>
      </w:pPr>
      <w:r>
        <w:t>Beide Forderungen lauten auf Geld (Euro). Gleichartigkeit bei Geldschulden ist unproblematisch immer gegeben (h. M.; BGH NJW 2014, 2780, 2781 Rn. 14; Palandt/Grüneberg, § 387 Rn. 8).</w:t>
      </w:r>
    </w:p>
    <w:p/>
    <w:p>
      <w:pPr>
        <w:pStyle w:val="Heading2"/>
      </w:pPr>
      <w:r>
        <w:rPr>
          <w:rFonts w:ascii="Times New Roman" w:hAnsi="Times New Roman"/>
        </w:rPr>
        <w:t>III. Fälligkeit der Gegenforderung</w:t>
      </w:r>
    </w:p>
    <w:p>
      <w:pPr>
        <w:jc w:val="left"/>
      </w:pPr>
      <w:r>
        <w:t>Die Gegenforderung des B aus dem Darlehen ist laut Sachverhalt „unstreitig entstanden und fällig". Damit ist die Fälligkeit ohne weitere Prüfung gegeben.</w:t>
      </w:r>
    </w:p>
    <w:p>
      <w:pPr>
        <w:jc w:val="left"/>
      </w:pPr>
      <w:r>
        <w:t>Zur Erinnerung: Fälligkeit bedeutet, dass B die Leistung von A verlangen kann (§ 271 Abs. 1 BGB). Da der Sachverhalt keine Stundungsabrede oder Einrede nennt, ist von sofortiger Fälligkeit auszugehen.</w:t>
      </w:r>
    </w:p>
    <w:p/>
    <w:p>
      <w:pPr>
        <w:pStyle w:val="Heading2"/>
      </w:pPr>
      <w:r>
        <w:rPr>
          <w:rFonts w:ascii="Times New Roman" w:hAnsi="Times New Roman"/>
        </w:rPr>
        <w:t>IV. Erfüllbarkeit der Hauptforderung</w:t>
      </w:r>
    </w:p>
    <w:p>
      <w:pPr>
        <w:jc w:val="left"/>
      </w:pPr>
      <w:r>
        <w:t>Die Kaufpreisforderung des A gegen B war ab dem vertraglich vereinbarten Leistungstermin 01.04.2026 erfüllbar und fällig (§ 271 BGB). Als B am 10.04.2026 aufrechnete, war die Kaufpreisforderung daher bereits fällig und erfüllbar ✓.</w:t>
      </w:r>
    </w:p>
    <w:p/>
    <w:p>
      <w:pPr>
        <w:pStyle w:val="Heading2"/>
      </w:pPr>
      <w:r>
        <w:rPr>
          <w:rFonts w:ascii="Times New Roman" w:hAnsi="Times New Roman"/>
        </w:rPr>
        <w:t>V. Aufrechnungserklärung (§ 388 BGB)</w:t>
      </w:r>
    </w:p>
    <w:p>
      <w:pPr>
        <w:jc w:val="left"/>
      </w:pPr>
      <w:r>
        <w:t>Die Aufrechnungserklärung ist eine einseitige, empfangsbedürftige Willenserklärung. Sie muss:</w:t>
      </w:r>
    </w:p>
    <w:p>
      <w:pPr>
        <w:pStyle w:val="ListBullet"/>
      </w:pPr>
      <w:r>
        <w:t>unbedingt sein (§ 388 S. 2 BGB — keine Potestativbedingung);</w:t>
      </w:r>
    </w:p>
    <w:p>
      <w:pPr>
        <w:pStyle w:val="ListBullet"/>
      </w:pPr>
      <w:r>
        <w:t>unbefristet sein;</w:t>
      </w:r>
    </w:p>
    <w:p>
      <w:pPr>
        <w:pStyle w:val="ListBullet"/>
      </w:pPr>
      <w:r>
        <w:t>konkludent oder ausdrücklich geäußert werden.</w:t>
      </w:r>
    </w:p>
    <w:p>
      <w:pPr>
        <w:jc w:val="left"/>
      </w:pPr>
      <w:r>
        <w:t xml:space="preserve">B hat am 10.04.2026 </w:t>
      </w:r>
      <w:r>
        <w:rPr>
          <w:b/>
        </w:rPr>
        <w:t>schriftlich</w:t>
      </w:r>
      <w:r>
        <w:t xml:space="preserve"> die Aufrechnung erklärt. Eine Schriftform ist zwar nicht erforderlich, aber zulässig und hier gegeben. Die Erklärung muss A zugegangen sein (§ 130 BGB). Der Sachverhalt erwähnt keine Zugangsprobleme, sodass Zugang anzunehmen ist.</w:t>
      </w:r>
    </w:p>
    <w:p/>
    <w:p>
      <w:pPr>
        <w:pStyle w:val="Heading2"/>
      </w:pPr>
      <w:r>
        <w:rPr>
          <w:rFonts w:ascii="Times New Roman" w:hAnsi="Times New Roman"/>
        </w:rPr>
        <w:t>VI. Kein Aufrechnungsverbot</w:t>
      </w:r>
    </w:p>
    <w:p>
      <w:pPr>
        <w:pStyle w:val="Heading3"/>
      </w:pPr>
      <w:r>
        <w:rPr>
          <w:rFonts w:ascii="Times New Roman" w:hAnsi="Times New Roman"/>
        </w:rPr>
        <w:t>§ 393 BGB (Deliktsforderung)</w:t>
      </w:r>
    </w:p>
    <w:p>
      <w:pPr>
        <w:jc w:val="left"/>
      </w:pPr>
      <w:r>
        <w:t>Nicht einschlägig — die Hauptforderung (Kaufpreis) entstammt einem Vertrag, nicht einer Deliktsnorm.</w:t>
      </w:r>
    </w:p>
    <w:p>
      <w:pPr>
        <w:pStyle w:val="Heading3"/>
      </w:pPr>
      <w:r>
        <w:rPr>
          <w:rFonts w:ascii="Times New Roman" w:hAnsi="Times New Roman"/>
        </w:rPr>
        <w:t>§ 394 BGB (Unpfändbarkeit)</w:t>
      </w:r>
    </w:p>
    <w:p>
      <w:pPr>
        <w:jc w:val="left"/>
      </w:pPr>
      <w:r>
        <w:t>Nicht einschlägig — Kaufpreisforderung ist pfändbar.</w:t>
      </w:r>
    </w:p>
    <w:p>
      <w:pPr>
        <w:pStyle w:val="Heading3"/>
      </w:pPr>
      <w:r>
        <w:rPr>
          <w:rFonts w:ascii="Times New Roman" w:hAnsi="Times New Roman"/>
        </w:rPr>
        <w:t>Vertragliches Aufrechnungsverbot</w:t>
      </w:r>
    </w:p>
    <w:p>
      <w:pPr>
        <w:jc w:val="left"/>
      </w:pPr>
      <w:r>
        <w:t>Der schriftliche Kaufvertrag vom 10.03.2026 enthält nach Sachverhaltslage kein Aufrechnungsverbot. Hätte A ein solches aufgenommen, wäre es als AGB-Klausel an §§ 305 ff. BGB zu messen — insbesondere § 309 Nr. 3 BGB, der ein generelles Aufrechnungsverbot mit unbestrittenen Gegenforderungen verbietet (BGH NJW 1998, 3558).</w:t>
      </w:r>
    </w:p>
    <w:p>
      <w:pPr>
        <w:pStyle w:val="Heading3"/>
      </w:pPr>
      <w:r>
        <w:rPr>
          <w:rFonts w:ascii="Times New Roman" w:hAnsi="Times New Roman"/>
        </w:rPr>
        <w:t>§ 242 BGB</w:t>
      </w:r>
    </w:p>
    <w:p>
      <w:pPr>
        <w:jc w:val="left"/>
      </w:pPr>
      <w:r>
        <w:t>Keine Anhaltspunkte für rechtsmissbräuchliche Aufrechnung.</w:t>
      </w:r>
    </w:p>
    <w:p/>
    <w:p>
      <w:pPr>
        <w:pStyle w:val="Heading2"/>
      </w:pPr>
      <w:r>
        <w:rPr>
          <w:rFonts w:ascii="Times New Roman" w:hAnsi="Times New Roman"/>
        </w:rPr>
        <w:t>VII. Rechtsfolge: § 389 BGB — Erlöschenswirkung</w:t>
      </w:r>
    </w:p>
    <w:p>
      <w:pPr>
        <w:pStyle w:val="Heading3"/>
      </w:pPr>
      <w:r>
        <w:rPr>
          <w:rFonts w:ascii="Times New Roman" w:hAnsi="Times New Roman"/>
        </w:rPr>
        <w:t>Gesetzestext § 389 BGB</w:t>
      </w:r>
    </w:p>
    <w:p>
      <w:pPr>
        <w:ind w:left="567"/>
      </w:pPr>
      <w:r>
        <w:rPr>
          <w:i/>
        </w:rPr>
        <w:t>„Die Aufrechnung bewirkt, dass die Forderungen, soweit sie sich decken, als in dem Zeitpunkt erloschen gelten, in welchem sie zur Aufrechnung geeignet gegenübergestanden haben."</w:t>
      </w:r>
    </w:p>
    <w:p>
      <w:pPr>
        <w:pStyle w:val="Heading3"/>
      </w:pPr>
      <w:r>
        <w:rPr>
          <w:rFonts w:ascii="Times New Roman" w:hAnsi="Times New Roman"/>
        </w:rPr>
        <w:t>Inhalt der Rechtsfolge</w:t>
      </w:r>
    </w:p>
    <w:p>
      <w:pPr>
        <w:jc w:val="left"/>
      </w:pPr>
      <w:r>
        <w:t xml:space="preserve">Die Aufrechnung wirkt </w:t>
      </w:r>
      <w:r>
        <w:rPr>
          <w:b/>
        </w:rPr>
        <w:t>ex tunc</w:t>
      </w:r>
      <w:r>
        <w:t>: Beide Forderungen erlöschen rückwirkend auf den Zeitpunkt, in dem die Aufrechnungslage erstmals bestanden hat. Im vorliegenden Fall:</w:t>
      </w:r>
    </w:p>
    <w:p>
      <w:pPr>
        <w:pStyle w:val="ListBullet"/>
      </w:pPr>
      <w:r>
        <w:t>Kaufpreisforderung fällig: 01.04.2026</w:t>
      </w:r>
    </w:p>
    <w:p>
      <w:pPr>
        <w:pStyle w:val="ListBullet"/>
      </w:pPr>
      <w:r>
        <w:t>Darlehensgegenforderung: laut Sachverhalt bereits fällig (Zeitpunkt vor dem 10.04.2026)</w:t>
      </w:r>
    </w:p>
    <w:p>
      <w:pPr>
        <w:pStyle w:val="ListBullet"/>
      </w:pPr>
      <w:r>
        <w:t>Aufrechnungslage bestand spätestens ab 01.04.2026</w:t>
      </w:r>
    </w:p>
    <w:p>
      <w:pPr>
        <w:pStyle w:val="ListBullet"/>
      </w:pPr>
      <w:r>
        <w:t>Forderungen erlöschen rückwirkend auf 01.04.2026</w:t>
      </w:r>
    </w:p>
    <w:p>
      <w:pPr>
        <w:jc w:val="left"/>
      </w:pPr>
      <w:r>
        <w:rPr>
          <w:b/>
        </w:rPr>
        <w:t>Konsequenz für Verzug:</w:t>
      </w:r>
      <w:r>
        <w:t xml:space="preserve"> Da die Kaufpreisforderung (in Höhe von 2.200 Euro) rückwirkend auf 01.04.2026 erloschen gilt, kann B für diesen Betrag ab 01.04.2026 nicht in Verzug geraten sein (§ 286 Abs. 4 BGB analog; vgl. Aktenstück 14).</w:t>
      </w:r>
    </w:p>
    <w:p>
      <w:pPr>
        <w:pStyle w:val="Heading3"/>
      </w:pPr>
      <w:r>
        <w:rPr>
          <w:rFonts w:ascii="Times New Roman" w:hAnsi="Times New Roman"/>
        </w:rPr>
        <w:t>Streitstand zur Rückwirkung des § 389 BGB</w:t>
      </w:r>
    </w:p>
    <w:p>
      <w:pPr>
        <w:jc w:val="left"/>
      </w:pPr>
      <w:r>
        <w:rPr>
          <w:b/>
        </w:rPr>
        <w:t>Erste Ansicht (h. M.):</w:t>
      </w:r>
      <w:r>
        <w:t xml:space="preserve"> Die Rückwirkung des § 389 BGB ist eine gesetzliche Fiktion. Sie dient der Vereinfachung und vermeidet die Abwicklung von Zinsen über den Zwischenzeitraum. Die Tilgung gilt als in dem Moment eingetreten, in dem die Aufrechnungslage bestand (Palandt/Grüneberg, § 389 Rn. 3; BGH NJW 1976, 1258).</w:t>
      </w:r>
    </w:p>
    <w:p>
      <w:pPr>
        <w:jc w:val="left"/>
      </w:pPr>
      <w:r>
        <w:rPr>
          <w:b/>
        </w:rPr>
        <w:t>Zweite Ansicht (Mindermeinung):</w:t>
      </w:r>
      <w:r>
        <w:t xml:space="preserve"> Die Rückwirkung führt zu unbilligen Ergebnissen, wenn zwischenzeitlich Rechte Dritter entstanden sind. Beim Verbrauchsgüterkauf ist zudem fraglich, ob die Rückwirkung mit den Wertungen des § 474 BGB vereinbar ist. (So etwa Staudinger/Gursky, § 389 Rn. 15 ff., mit Einschränkungsvorschlägen.)</w:t>
      </w:r>
    </w:p>
    <w:p>
      <w:pPr>
        <w:jc w:val="left"/>
      </w:pPr>
      <w:r>
        <w:rPr>
          <w:b/>
        </w:rPr>
        <w:t>Stellungnahme (Pohlmann):</w:t>
      </w:r>
      <w:r>
        <w:t xml:space="preserve"> Die h. M. ist vorzugswürdig. § 389 BGB ist klarer Gesetzeswortlaut; eine teleologische Reduktion ist nicht geboten, da die Rückwirkung gerade dem Schuldner zugute kommt und keine unbilligen Drittinteressen beeinträchtigt (vgl. die Sonderproblem-Behandlung bei § 406 BGB für den Fall der Abtretung).</w:t>
      </w:r>
    </w:p>
    <w:p/>
    <w:p>
      <w:pPr>
        <w:pStyle w:val="Heading2"/>
      </w:pPr>
      <w:r>
        <w:rPr>
          <w:rFonts w:ascii="Times New Roman" w:hAnsi="Times New Roman"/>
        </w:rPr>
        <w:t>Ergebnis</w:t>
      </w:r>
    </w:p>
    <w:p>
      <w:pPr>
        <w:jc w:val="left"/>
      </w:pPr>
      <w:r>
        <w:t xml:space="preserve">Die Aufrechnung des B erfüllt alle Voraussetzungen der §§ 387–389 BGB. Die Kaufpreisforderung des A gegen B ist in Höhe von 2.200 Euro rückwirkend auf den 01.04.2026 erloschen. Es verbleibt ein Restanspruch von </w:t>
      </w:r>
      <w:r>
        <w:rPr>
          <w:b/>
        </w:rPr>
        <w:t>2.600 Euro</w:t>
      </w:r>
      <w:r>
        <w:t>.</w:t>
      </w:r>
    </w:p>
    <w:p/>
    <w:p>
      <w:pPr>
        <w:jc w:val="left"/>
      </w:pPr>
      <w:r>
        <w:rPr>
          <w:i/>
        </w:rPr>
        <w:t>Aktenstück 05 von 22 — Aufrechnung § 387 BGB Voraussetzungen und Streitstände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