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Schlechtleistung: §§ 434, 437 BGB — Sachmangel-Kontrolle</w:t>
      </w:r>
    </w:p>
    <w:p>
      <w:pPr>
        <w:jc w:val="left"/>
      </w:pPr>
      <w:r>
        <w:rPr>
          <w:b/>
        </w:rPr>
        <w:t>Bearbeiter:</w:t>
      </w:r>
      <w:r>
        <w:t xml:space="preserve"> Konrad Pohlmann</w:t>
      </w:r>
    </w:p>
    <w:p>
      <w:pPr>
        <w:jc w:val="left"/>
      </w:pPr>
      <w:r>
        <w:rPr>
          <w:b/>
        </w:rPr>
        <w:t>Stand:</w:t>
      </w:r>
      <w:r>
        <w:t xml:space="preserve"> 20.04.2026</w:t>
      </w:r>
    </w:p>
    <w:p/>
    <w:p>
      <w:pPr>
        <w:pStyle w:val="Heading2"/>
      </w:pPr>
      <w:r>
        <w:rPr>
          <w:rFonts w:ascii="Times New Roman" w:hAnsi="Times New Roman"/>
        </w:rPr>
        <w:t>Ausgangsfrage</w:t>
      </w:r>
    </w:p>
    <w:p>
      <w:pPr>
        <w:jc w:val="left"/>
      </w:pPr>
      <w:r>
        <w:t>Die Vermeer-Replik weist bei Übergabe eine Farbabplatzung (ca. 3 × 5 cm, rechte untere Ecke) auf. Liegt ein Sachmangel im Sinne des § 434 BGB vor? Wenn ja: Welche Gewährleistungsrechte stehen B gemäß § 437 BGB zu?</w:t>
      </w:r>
    </w:p>
    <w:p/>
    <w:p>
      <w:pPr>
        <w:pStyle w:val="Heading2"/>
      </w:pPr>
      <w:r>
        <w:rPr>
          <w:rFonts w:ascii="Times New Roman" w:hAnsi="Times New Roman"/>
        </w:rPr>
        <w:t>I. Sachmangel (§ 434 BGB)</w:t>
      </w:r>
    </w:p>
    <w:p>
      <w:pPr>
        <w:pStyle w:val="Heading3"/>
      </w:pPr>
      <w:r>
        <w:rPr>
          <w:rFonts w:ascii="Times New Roman" w:hAnsi="Times New Roman"/>
        </w:rPr>
        <w:t>1. Normstruktur § 434 BGB (seit Schuldrechtsmodernisierung 2022)</w:t>
      </w:r>
    </w:p>
    <w:p>
      <w:pPr>
        <w:jc w:val="left"/>
      </w:pPr>
      <w:r>
        <w:t>§ 434 BGB in der seit 01.01.2022 geltenden Fassung (Umsetzung der Warenkauf-RL 2019/771/EU) unterscheidet:</w:t>
      </w:r>
    </w:p>
    <w:p>
      <w:pPr>
        <w:pStyle w:val="ListBullet"/>
      </w:pPr>
      <w:r>
        <w:rPr>
          <w:b/>
        </w:rPr>
        <w:t>Subjektiver Fehlerbegriff</w:t>
      </w:r>
      <w:r>
        <w:t xml:space="preserve"> (§ 434 Abs. 1 BGB): Die Sache entspricht nicht der vereinbarten Beschaffenheit.</w:t>
      </w:r>
    </w:p>
    <w:p>
      <w:pPr>
        <w:pStyle w:val="ListBullet"/>
      </w:pPr>
      <w:r>
        <w:rPr>
          <w:b/>
        </w:rPr>
        <w:t>Objektiver Fehlerbegriff</w:t>
      </w:r>
      <w:r>
        <w:t xml:space="preserve"> (§ 434 Abs. 2 BGB): Die Sache eignet sich nicht für die gewöhnliche Verwendung oder entspricht nicht den objektiven Anforderungen.</w:t>
      </w:r>
    </w:p>
    <w:p>
      <w:pPr>
        <w:pStyle w:val="ListBullet"/>
      </w:pPr>
      <w:r>
        <w:rPr>
          <w:b/>
        </w:rPr>
        <w:t>Montagemangel</w:t>
      </w:r>
      <w:r>
        <w:t xml:space="preserve"> (§ 434 Abs. 3 BGB): nicht einschlägig.</w:t>
      </w:r>
    </w:p>
    <w:p>
      <w:pPr>
        <w:pStyle w:val="ListBullet"/>
      </w:pPr>
      <w:r>
        <w:rPr>
          <w:b/>
        </w:rPr>
        <w:t>Lieferung einer anderen Sache</w:t>
      </w:r>
      <w:r>
        <w:t xml:space="preserve"> (§ 434 Abs. 4 BGB): nicht einschlägig.</w:t>
      </w:r>
    </w:p>
    <w:p>
      <w:pPr>
        <w:pStyle w:val="Heading3"/>
      </w:pPr>
      <w:r>
        <w:rPr>
          <w:rFonts w:ascii="Times New Roman" w:hAnsi="Times New Roman"/>
        </w:rPr>
        <w:t>2. Anwendung auf den Sachverhalt</w:t>
      </w:r>
    </w:p>
    <w:p>
      <w:pPr>
        <w:jc w:val="left"/>
      </w:pPr>
      <w:r>
        <w:rPr>
          <w:b/>
        </w:rPr>
        <w:t>Vertraglich vereinbarte Beschaffenheit (§ 434 Abs. 1 BGB):</w:t>
      </w:r>
    </w:p>
    <w:p>
      <w:pPr>
        <w:jc w:val="left"/>
      </w:pPr>
      <w:r>
        <w:t>Im Kaufvertrag vom 10.03.2026 ist das Gemälde als „Werkstattkopie nach Johannes Vermeer, 21. Jahrhundert, signiert" beschrieben. Eine Farbabplatzung ist dort nicht erwähnt; eine ausdrückliche Beschaffenheitsvereinbarung über den Erhaltungszustand ist nicht getroffen worden.</w:t>
      </w:r>
    </w:p>
    <w:p>
      <w:pPr>
        <w:jc w:val="left"/>
      </w:pPr>
      <w:r>
        <w:rPr>
          <w:b/>
        </w:rPr>
        <w:t>Objektiver Fehlerbegriff (§ 434 Abs. 2 S. 1 Nr. 1 BGB):</w:t>
      </w:r>
    </w:p>
    <w:p>
      <w:pPr>
        <w:jc w:val="left"/>
      </w:pPr>
      <w:r>
        <w:t>Eine Vermeer-Replik, die als Schmuckstück einer Privatbibliothek erworben wird, muss optisch einwandfrei sein. Eine sichtbare Farbabplatzung beeinträchtigt die Gebrauchstauglichkeit für den vereinbarten Zweck (dekorative Verwendung) erheblich. Die Sache eignet sich daher nicht für die gewöhnliche Verwendung — jedenfalls nicht in dem Maße, das ein Käufer erwarten kann (§ 434 Abs. 2 S. 1 Nr. 2 BGB).</w:t>
      </w:r>
    </w:p>
    <w:p>
      <w:pPr>
        <w:jc w:val="left"/>
      </w:pPr>
      <w:r>
        <w:rPr>
          <w:b/>
        </w:rPr>
        <w:t>Qualität und Beschaffenheit, die der Käufer erwarten darf (§ 434 Abs. 2 S. 2 BGB):</w:t>
      </w:r>
    </w:p>
    <w:p>
      <w:pPr>
        <w:jc w:val="left"/>
      </w:pPr>
      <w:r>
        <w:t>Ein verständiger Käufer einer Kunstkopie in der Preislage von 4.800 Euro darf erwarten, dass das Bild frei von offensichtlichen Substanzschäden ist.</w:t>
      </w:r>
    </w:p>
    <w:p>
      <w:pPr>
        <w:jc w:val="left"/>
      </w:pPr>
      <w:r>
        <w:rPr>
          <w:b/>
        </w:rPr>
        <w:t>Ergebnis:</w:t>
      </w:r>
      <w:r>
        <w:t xml:space="preserve"> Sachmangel liegt vor (§ 434 Abs. 2 S. 1 Nr. 1 und Nr. 2 BGB). (+)</w:t>
      </w:r>
    </w:p>
    <w:p>
      <w:pPr>
        <w:pStyle w:val="Heading3"/>
      </w:pPr>
      <w:r>
        <w:rPr>
          <w:rFonts w:ascii="Times New Roman" w:hAnsi="Times New Roman"/>
        </w:rPr>
        <w:t>3. Zeitpunkt des Mangels: § 434 Abs. 1 i. V. m. § 446 BGB</w:t>
      </w:r>
    </w:p>
    <w:p>
      <w:pPr>
        <w:jc w:val="left"/>
      </w:pPr>
      <w:r>
        <w:t xml:space="preserve">Für das Vorliegen des Mangels ist der Zeitpunkt des </w:t>
      </w:r>
      <w:r>
        <w:rPr>
          <w:b/>
        </w:rPr>
        <w:t>Gefahrübergangs</w:t>
      </w:r>
      <w:r>
        <w:t xml:space="preserve"> maßgeblich (§ 434 Abs. 1 BGB). Bei Kaufverträgen über bewegliche Sachen geht die Gefahr mit Übergabe über (§ 446 S. 1 BGB). Die Übergabe erfolgte am 01.04.2026 — und der Mangel wurde </w:t>
      </w:r>
      <w:r>
        <w:rPr>
          <w:b/>
        </w:rPr>
        <w:t>bei Übergabe</w:t>
      </w:r>
      <w:r>
        <w:t xml:space="preserve"> festgestellt. Der Mangel lag mithin bereits bei Gefahrübergang vor. ✓</w:t>
      </w:r>
    </w:p>
    <w:p>
      <w:pPr>
        <w:jc w:val="left"/>
      </w:pPr>
      <w:r>
        <w:rPr>
          <w:b/>
        </w:rPr>
        <w:t>Vermutungsregel bei Verbrauchsgüterkauf (§ 477 BGB):</w:t>
      </w:r>
    </w:p>
    <w:p>
      <w:pPr>
        <w:jc w:val="left"/>
      </w:pPr>
      <w:r>
        <w:t>Da B Verbraucher ist (§ 13 BGB), gilt die Vermutung des § 477 BGB: Zeigt sich ein Sachmangel innerhalb eines Jahres nach Gefahrübergang, wird vermutet, dass er bereits bei Gefahrübergang vorlag. Da der Mangel sofort bei Übergabe festgestellt wurde, ist die Vermutung hier ohnehin irrelevant — der Sachverhalt ist eindeutig.</w:t>
      </w:r>
    </w:p>
    <w:p/>
    <w:p>
      <w:pPr>
        <w:pStyle w:val="Heading2"/>
      </w:pPr>
      <w:r>
        <w:rPr>
          <w:rFonts w:ascii="Times New Roman" w:hAnsi="Times New Roman"/>
        </w:rPr>
        <w:t>II. Gewährleistungsrechte des B (§ 437 BGB)</w:t>
      </w:r>
    </w:p>
    <w:p>
      <w:pPr>
        <w:jc w:val="left"/>
      </w:pPr>
      <w:r>
        <w:t>§ 437 BGB gewährt dem Käufer beim Vorliegen eines Sachmangels folgende Rechte:</w:t>
      </w:r>
    </w:p>
    <w:p>
      <w:pPr>
        <w:jc w:val="left"/>
      </w:pPr>
      <w:r>
        <w:t>```</w:t>
      </w:r>
    </w:p>
    <w:p>
      <w:pPr>
        <w:jc w:val="left"/>
      </w:pPr>
      <w:r>
        <w:t>§ 437 BGB — Rechte des Käufers bei Mängeln</w:t>
      </w:r>
    </w:p>
    <w:p>
      <w:pPr>
        <w:jc w:val="left"/>
      </w:pPr>
      <w:r>
        <w:t>Nr. 1 — Nacherfüllung (§ 439 BGB)</w:t>
      </w:r>
    </w:p>
    <w:p>
      <w:pPr>
        <w:jc w:val="left"/>
      </w:pPr>
      <w:r>
        <w:t>Nr. 2 — Rücktritt (§§ 440, 323, 326 Abs. 5 BGB) oder Minderung (§ 441 BGB)</w:t>
      </w:r>
    </w:p>
    <w:p>
      <w:pPr>
        <w:jc w:val="left"/>
      </w:pPr>
      <w:r>
        <w:t>Nr. 3 — Schadensersatz (§§ 440, 280, 281, 283, 311a BGB) oder Aufwendungsersatz (§ 284 BGB)</w:t>
      </w:r>
    </w:p>
    <w:p>
      <w:pPr>
        <w:jc w:val="left"/>
      </w:pPr>
      <w:r>
        <w:t>```</w:t>
      </w:r>
    </w:p>
    <w:p>
      <w:pPr>
        <w:jc w:val="left"/>
      </w:pPr>
      <w:r>
        <w:t xml:space="preserve">Die Rechte aus Nr. 2 und Nr. 3 setzen grundsätzlich voraus, dass B dem A zuvor erfolglos eine </w:t>
      </w:r>
      <w:r>
        <w:rPr>
          <w:b/>
        </w:rPr>
        <w:t>angemessene Frist zur Nacherfüllung</w:t>
      </w:r>
      <w:r>
        <w:t xml:space="preserve"> gesetzt hat (§§ 323 Abs. 1, 281 Abs. 1 BGB) — oder dass die Fristsetzung entbehrlich ist.</w:t>
      </w:r>
    </w:p>
    <w:p>
      <w:pPr>
        <w:pStyle w:val="Heading3"/>
      </w:pPr>
      <w:r>
        <w:rPr>
          <w:rFonts w:ascii="Times New Roman" w:hAnsi="Times New Roman"/>
        </w:rPr>
        <w:t>Nacherfüllungsanspruch (§ 439 BGB)</w:t>
      </w:r>
    </w:p>
    <w:p>
      <w:pPr>
        <w:jc w:val="left"/>
      </w:pPr>
      <w:r>
        <w:t>B hat am 01.04.2026 Nachbesserung verlangt. A hat abgelehnt. Der Nacherfüllungsanspruch ist damit entstanden, aber von A verweigert worden. Dies löst die Entbehrlichkeit der Fristsetzung nach § 323 Abs. 2 Nr. 1 BGB aus (ernsthafte und endgültige Erfüllungsverweigerung — dazu Aktenstück 07).</w:t>
      </w:r>
    </w:p>
    <w:p>
      <w:pPr>
        <w:pStyle w:val="Heading3"/>
      </w:pPr>
      <w:r>
        <w:rPr>
          <w:rFonts w:ascii="Times New Roman" w:hAnsi="Times New Roman"/>
        </w:rPr>
        <w:t>Überblick Rechte Nr. 2 und Nr. 3</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Recht</w:t>
            </w:r>
          </w:p>
        </w:tc>
        <w:tc>
          <w:tcPr>
            <w:tcW w:type="dxa" w:w="2268"/>
          </w:tcPr>
          <w:p>
            <w:r>
              <w:rPr>
                <w:rFonts w:ascii="Times New Roman" w:hAnsi="Times New Roman"/>
                <w:b/>
                <w:sz w:val="20"/>
              </w:rPr>
              <w:t>Norm</w:t>
            </w:r>
          </w:p>
        </w:tc>
        <w:tc>
          <w:tcPr>
            <w:tcW w:type="dxa" w:w="2268"/>
          </w:tcPr>
          <w:p>
            <w:r>
              <w:rPr>
                <w:rFonts w:ascii="Times New Roman" w:hAnsi="Times New Roman"/>
                <w:b/>
                <w:sz w:val="20"/>
              </w:rPr>
              <w:t>Fristsetzung nötig?</w:t>
            </w:r>
          </w:p>
        </w:tc>
        <w:tc>
          <w:tcPr>
            <w:tcW w:type="dxa" w:w="2268"/>
          </w:tcPr>
          <w:p>
            <w:r>
              <w:rPr>
                <w:rFonts w:ascii="Times New Roman" w:hAnsi="Times New Roman"/>
                <w:b/>
                <w:sz w:val="20"/>
              </w:rPr>
              <w:t>Streitpunkt</w:t>
            </w:r>
          </w:p>
        </w:tc>
      </w:tr>
      <w:tr>
        <w:tc>
          <w:tcPr>
            <w:tcW w:type="dxa" w:w="2268"/>
          </w:tcPr>
          <w:p>
            <w:r>
              <w:rPr>
                <w:rFonts w:ascii="Times New Roman" w:hAnsi="Times New Roman"/>
                <w:sz w:val="20"/>
              </w:rPr>
              <w:t>Rücktritt</w:t>
            </w:r>
          </w:p>
        </w:tc>
        <w:tc>
          <w:tcPr>
            <w:tcW w:type="dxa" w:w="2268"/>
          </w:tcPr>
          <w:p>
            <w:r>
              <w:rPr>
                <w:rFonts w:ascii="Times New Roman" w:hAnsi="Times New Roman"/>
                <w:sz w:val="20"/>
              </w:rPr>
              <w:t>§§ 437 Nr. 2, 323 BGB</w:t>
            </w:r>
          </w:p>
        </w:tc>
        <w:tc>
          <w:tcPr>
            <w:tcW w:type="dxa" w:w="2268"/>
          </w:tcPr>
          <w:p>
            <w:r>
              <w:rPr>
                <w:rFonts w:ascii="Times New Roman" w:hAnsi="Times New Roman"/>
                <w:sz w:val="20"/>
              </w:rPr>
              <w:t>Ja (§ 323 Abs. 1)</w:t>
            </w:r>
          </w:p>
        </w:tc>
        <w:tc>
          <w:tcPr>
            <w:tcW w:type="dxa" w:w="2268"/>
          </w:tcPr>
          <w:p>
            <w:r>
              <w:rPr>
                <w:rFonts w:ascii="Times New Roman" w:hAnsi="Times New Roman"/>
                <w:sz w:val="20"/>
              </w:rPr>
              <w:t>Erheblichkeit des Mangels (§ 323 Abs. 5 S. 2 BGB)</w:t>
            </w:r>
          </w:p>
        </w:tc>
      </w:tr>
      <w:tr>
        <w:tc>
          <w:tcPr>
            <w:tcW w:type="dxa" w:w="2268"/>
          </w:tcPr>
          <w:p>
            <w:r>
              <w:rPr>
                <w:rFonts w:ascii="Times New Roman" w:hAnsi="Times New Roman"/>
                <w:sz w:val="20"/>
              </w:rPr>
              <w:t>Minderung</w:t>
            </w:r>
          </w:p>
        </w:tc>
        <w:tc>
          <w:tcPr>
            <w:tcW w:type="dxa" w:w="2268"/>
          </w:tcPr>
          <w:p>
            <w:r>
              <w:rPr>
                <w:rFonts w:ascii="Times New Roman" w:hAnsi="Times New Roman"/>
                <w:sz w:val="20"/>
              </w:rPr>
              <w:t>§§ 437 Nr. 2, 441 BGB</w:t>
            </w:r>
          </w:p>
        </w:tc>
        <w:tc>
          <w:tcPr>
            <w:tcW w:type="dxa" w:w="2268"/>
          </w:tcPr>
          <w:p>
            <w:r>
              <w:rPr>
                <w:rFonts w:ascii="Times New Roman" w:hAnsi="Times New Roman"/>
                <w:sz w:val="20"/>
              </w:rPr>
              <w:t>Ja (§ 441 Abs. 1 S. 1)</w:t>
            </w:r>
          </w:p>
        </w:tc>
        <w:tc>
          <w:tcPr>
            <w:tcW w:type="dxa" w:w="2268"/>
          </w:tcPr>
          <w:p>
            <w:r>
              <w:rPr>
                <w:rFonts w:ascii="Times New Roman" w:hAnsi="Times New Roman"/>
                <w:sz w:val="20"/>
              </w:rPr>
              <w:t>Minderungsbetrag</w:t>
            </w:r>
          </w:p>
        </w:tc>
      </w:tr>
      <w:tr>
        <w:tc>
          <w:tcPr>
            <w:tcW w:type="dxa" w:w="2268"/>
          </w:tcPr>
          <w:p>
            <w:r>
              <w:rPr>
                <w:rFonts w:ascii="Times New Roman" w:hAnsi="Times New Roman"/>
                <w:sz w:val="20"/>
              </w:rPr>
              <w:t>SE statt Leistung</w:t>
            </w:r>
          </w:p>
        </w:tc>
        <w:tc>
          <w:tcPr>
            <w:tcW w:type="dxa" w:w="2268"/>
          </w:tcPr>
          <w:p>
            <w:r>
              <w:rPr>
                <w:rFonts w:ascii="Times New Roman" w:hAnsi="Times New Roman"/>
                <w:sz w:val="20"/>
              </w:rPr>
              <w:t>§§ 437 Nr. 3, 281 BGB</w:t>
            </w:r>
          </w:p>
        </w:tc>
        <w:tc>
          <w:tcPr>
            <w:tcW w:type="dxa" w:w="2268"/>
          </w:tcPr>
          <w:p>
            <w:r>
              <w:rPr>
                <w:rFonts w:ascii="Times New Roman" w:hAnsi="Times New Roman"/>
                <w:sz w:val="20"/>
              </w:rPr>
              <w:t>Ja (§ 281 Abs. 1)</w:t>
            </w:r>
          </w:p>
        </w:tc>
        <w:tc>
          <w:tcPr>
            <w:tcW w:type="dxa" w:w="2268"/>
          </w:tcPr>
          <w:p>
            <w:r>
              <w:rPr>
                <w:rFonts w:ascii="Times New Roman" w:hAnsi="Times New Roman"/>
                <w:sz w:val="20"/>
              </w:rPr>
              <w:t>Verschulden (§ 280 Abs. 1 S. 2)</w:t>
            </w:r>
          </w:p>
        </w:tc>
      </w:tr>
      <w:tr>
        <w:tc>
          <w:tcPr>
            <w:tcW w:type="dxa" w:w="2268"/>
          </w:tcPr>
          <w:p>
            <w:r>
              <w:rPr>
                <w:rFonts w:ascii="Times New Roman" w:hAnsi="Times New Roman"/>
                <w:sz w:val="20"/>
              </w:rPr>
              <w:t>SE neben Leistung</w:t>
            </w:r>
          </w:p>
        </w:tc>
        <w:tc>
          <w:tcPr>
            <w:tcW w:type="dxa" w:w="2268"/>
          </w:tcPr>
          <w:p>
            <w:r>
              <w:rPr>
                <w:rFonts w:ascii="Times New Roman" w:hAnsi="Times New Roman"/>
                <w:sz w:val="20"/>
              </w:rPr>
              <w:t>§§ 437 Nr. 3, 280 Abs. 1</w:t>
            </w:r>
          </w:p>
        </w:tc>
        <w:tc>
          <w:tcPr>
            <w:tcW w:type="dxa" w:w="2268"/>
          </w:tcPr>
          <w:p>
            <w:r>
              <w:rPr>
                <w:rFonts w:ascii="Times New Roman" w:hAnsi="Times New Roman"/>
                <w:sz w:val="20"/>
              </w:rPr>
              <w:t>Nein</w:t>
            </w:r>
          </w:p>
        </w:tc>
        <w:tc>
          <w:tcPr>
            <w:tcW w:type="dxa" w:w="2268"/>
          </w:tcPr>
          <w:p>
            <w:r>
              <w:rPr>
                <w:rFonts w:ascii="Times New Roman" w:hAnsi="Times New Roman"/>
                <w:sz w:val="20"/>
              </w:rPr>
              <w:t>Pflichtverletzung</w:t>
            </w:r>
          </w:p>
        </w:tc>
      </w:tr>
    </w:tbl>
    <w:p/>
    <w:p>
      <w:pPr>
        <w:pStyle w:val="Heading2"/>
      </w:pPr>
      <w:r>
        <w:rPr>
          <w:rFonts w:ascii="Times New Roman" w:hAnsi="Times New Roman"/>
        </w:rPr>
        <w:t>III. Untersuchungsergebnis: Mängelkontrolle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Sachmangel § 434 BGB</w:t>
            </w:r>
          </w:p>
        </w:tc>
        <w:tc>
          <w:tcPr>
            <w:tcW w:type="dxa" w:w="4536"/>
          </w:tcPr>
          <w:p>
            <w:r>
              <w:rPr>
                <w:rFonts w:ascii="Times New Roman" w:hAnsi="Times New Roman"/>
                <w:sz w:val="20"/>
              </w:rPr>
              <w:t>(+) Farbabplatzung, objektiver Fehlerbegriff</w:t>
            </w:r>
          </w:p>
        </w:tc>
      </w:tr>
      <w:tr>
        <w:tc>
          <w:tcPr>
            <w:tcW w:type="dxa" w:w="4536"/>
          </w:tcPr>
          <w:p>
            <w:r>
              <w:rPr>
                <w:rFonts w:ascii="Times New Roman" w:hAnsi="Times New Roman"/>
                <w:sz w:val="20"/>
              </w:rPr>
              <w:t>Mangel bei Gefahrübergang</w:t>
            </w:r>
          </w:p>
        </w:tc>
        <w:tc>
          <w:tcPr>
            <w:tcW w:type="dxa" w:w="4536"/>
          </w:tcPr>
          <w:p>
            <w:r>
              <w:rPr>
                <w:rFonts w:ascii="Times New Roman" w:hAnsi="Times New Roman"/>
                <w:sz w:val="20"/>
              </w:rPr>
              <w:t>(+) Übergabe 01.04.2026, Mangel sofort gerügt</w:t>
            </w:r>
          </w:p>
        </w:tc>
      </w:tr>
      <w:tr>
        <w:tc>
          <w:tcPr>
            <w:tcW w:type="dxa" w:w="4536"/>
          </w:tcPr>
          <w:p>
            <w:r>
              <w:rPr>
                <w:rFonts w:ascii="Times New Roman" w:hAnsi="Times New Roman"/>
                <w:sz w:val="20"/>
              </w:rPr>
              <w:t>Verbrauchsgüterkauf</w:t>
            </w:r>
          </w:p>
        </w:tc>
        <w:tc>
          <w:tcPr>
            <w:tcW w:type="dxa" w:w="4536"/>
          </w:tcPr>
          <w:p>
            <w:r>
              <w:rPr>
                <w:rFonts w:ascii="Times New Roman" w:hAnsi="Times New Roman"/>
                <w:sz w:val="20"/>
              </w:rPr>
              <w:t>(+) A = Unternehmer, B = Verbraucher</w:t>
            </w:r>
          </w:p>
        </w:tc>
      </w:tr>
      <w:tr>
        <w:tc>
          <w:tcPr>
            <w:tcW w:type="dxa" w:w="4536"/>
          </w:tcPr>
          <w:p>
            <w:r>
              <w:rPr>
                <w:rFonts w:ascii="Times New Roman" w:hAnsi="Times New Roman"/>
                <w:sz w:val="20"/>
              </w:rPr>
              <w:t>Vermutung § 477 BGB</w:t>
            </w:r>
          </w:p>
        </w:tc>
        <w:tc>
          <w:tcPr>
            <w:tcW w:type="dxa" w:w="4536"/>
          </w:tcPr>
          <w:p>
            <w:r>
              <w:rPr>
                <w:rFonts w:ascii="Times New Roman" w:hAnsi="Times New Roman"/>
                <w:sz w:val="20"/>
              </w:rPr>
              <w:t>Greift, aber ohnehin unstreitig</w:t>
            </w:r>
          </w:p>
        </w:tc>
      </w:tr>
      <w:tr>
        <w:tc>
          <w:tcPr>
            <w:tcW w:type="dxa" w:w="4536"/>
          </w:tcPr>
          <w:p>
            <w:r>
              <w:rPr>
                <w:rFonts w:ascii="Times New Roman" w:hAnsi="Times New Roman"/>
                <w:sz w:val="20"/>
              </w:rPr>
              <w:t>Nacherfüllungsanspruch</w:t>
            </w:r>
          </w:p>
        </w:tc>
        <w:tc>
          <w:tcPr>
            <w:tcW w:type="dxa" w:w="4536"/>
          </w:tcPr>
          <w:p>
            <w:r>
              <w:rPr>
                <w:rFonts w:ascii="Times New Roman" w:hAnsi="Times New Roman"/>
                <w:sz w:val="20"/>
              </w:rPr>
              <w:t>(+), aber von A verweigert</w:t>
            </w:r>
          </w:p>
        </w:tc>
      </w:tr>
      <w:tr>
        <w:tc>
          <w:tcPr>
            <w:tcW w:type="dxa" w:w="4536"/>
          </w:tcPr>
          <w:p>
            <w:r>
              <w:rPr>
                <w:rFonts w:ascii="Times New Roman" w:hAnsi="Times New Roman"/>
                <w:sz w:val="20"/>
              </w:rPr>
              <w:t>Fristsetzung durch B</w:t>
            </w:r>
          </w:p>
        </w:tc>
        <w:tc>
          <w:tcPr>
            <w:tcW w:type="dxa" w:w="4536"/>
          </w:tcPr>
          <w:p>
            <w:r>
              <w:rPr>
                <w:rFonts w:ascii="Times New Roman" w:hAnsi="Times New Roman"/>
                <w:sz w:val="20"/>
              </w:rPr>
              <w:t>Problematisch — B hat keine ausdrückliche schriftliche Frist gesetzt</w:t>
            </w:r>
          </w:p>
        </w:tc>
      </w:tr>
      <w:tr>
        <w:tc>
          <w:tcPr>
            <w:tcW w:type="dxa" w:w="4536"/>
          </w:tcPr>
          <w:p>
            <w:r>
              <w:rPr>
                <w:rFonts w:ascii="Times New Roman" w:hAnsi="Times New Roman"/>
                <w:sz w:val="20"/>
              </w:rPr>
              <w:t>Entbehrlichkeit der Fristsetzung</w:t>
            </w:r>
          </w:p>
        </w:tc>
        <w:tc>
          <w:tcPr>
            <w:tcW w:type="dxa" w:w="4536"/>
          </w:tcPr>
          <w:p>
            <w:r>
              <w:rPr>
                <w:rFonts w:ascii="Times New Roman" w:hAnsi="Times New Roman"/>
                <w:sz w:val="20"/>
              </w:rPr>
              <w:t>Prüfung: § 323 Abs. 2 Nr. 1 BGB (Verweigerung A) — dazu AS 07</w:t>
            </w:r>
          </w:p>
        </w:tc>
      </w:tr>
    </w:tbl>
    <w:p/>
    <w:p>
      <w:pPr>
        <w:pStyle w:val="Heading2"/>
      </w:pPr>
      <w:r>
        <w:rPr>
          <w:rFonts w:ascii="Times New Roman" w:hAnsi="Times New Roman"/>
        </w:rPr>
        <w:t>Literatur-Vormerkliste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Quelle</w:t>
            </w:r>
          </w:p>
        </w:tc>
        <w:tc>
          <w:tcPr>
            <w:tcW w:type="dxa" w:w="3024"/>
          </w:tcPr>
          <w:p>
            <w:r>
              <w:rPr>
                <w:rFonts w:ascii="Times New Roman" w:hAnsi="Times New Roman"/>
                <w:b/>
                <w:sz w:val="20"/>
              </w:rPr>
              <w:t>Fundstelle</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Palandt/Weidenkaff</w:t>
            </w:r>
          </w:p>
        </w:tc>
        <w:tc>
          <w:tcPr>
            <w:tcW w:type="dxa" w:w="3024"/>
          </w:tcPr>
          <w:p>
            <w:r>
              <w:rPr>
                <w:rFonts w:ascii="Times New Roman" w:hAnsi="Times New Roman"/>
                <w:sz w:val="20"/>
              </w:rPr>
              <w:t>§ 434 BGB, Rn. 1 ff.</w:t>
            </w:r>
          </w:p>
        </w:tc>
        <w:tc>
          <w:tcPr>
            <w:tcW w:type="dxa" w:w="3024"/>
          </w:tcPr>
          <w:p>
            <w:r>
              <w:rPr>
                <w:rFonts w:ascii="Times New Roman" w:hAnsi="Times New Roman"/>
                <w:sz w:val="20"/>
              </w:rPr>
              <w:t>Sachmangelbegriff 2022</w:t>
            </w:r>
          </w:p>
        </w:tc>
      </w:tr>
      <w:tr>
        <w:tc>
          <w:tcPr>
            <w:tcW w:type="dxa" w:w="3024"/>
          </w:tcPr>
          <w:p>
            <w:r>
              <w:rPr>
                <w:rFonts w:ascii="Times New Roman" w:hAnsi="Times New Roman"/>
                <w:sz w:val="20"/>
              </w:rPr>
              <w:t>MüKo/Westermann</w:t>
            </w:r>
          </w:p>
        </w:tc>
        <w:tc>
          <w:tcPr>
            <w:tcW w:type="dxa" w:w="3024"/>
          </w:tcPr>
          <w:p>
            <w:r>
              <w:rPr>
                <w:rFonts w:ascii="Times New Roman" w:hAnsi="Times New Roman"/>
                <w:sz w:val="20"/>
              </w:rPr>
              <w:t>§ 434 BGB, Rn. 1 ff.</w:t>
            </w:r>
          </w:p>
        </w:tc>
        <w:tc>
          <w:tcPr>
            <w:tcW w:type="dxa" w:w="3024"/>
          </w:tcPr>
          <w:p>
            <w:r>
              <w:rPr>
                <w:rFonts w:ascii="Times New Roman" w:hAnsi="Times New Roman"/>
                <w:sz w:val="20"/>
              </w:rPr>
              <w:t>Warenkauf-RL, subjektiver/objektiver Fehlerbegriff</w:t>
            </w:r>
          </w:p>
        </w:tc>
      </w:tr>
      <w:tr>
        <w:tc>
          <w:tcPr>
            <w:tcW w:type="dxa" w:w="3024"/>
          </w:tcPr>
          <w:p>
            <w:r>
              <w:rPr>
                <w:rFonts w:ascii="Times New Roman" w:hAnsi="Times New Roman"/>
                <w:sz w:val="20"/>
              </w:rPr>
              <w:t>BGH NJW 2007, 1346</w:t>
            </w:r>
          </w:p>
        </w:tc>
        <w:tc>
          <w:tcPr>
            <w:tcW w:type="dxa" w:w="3024"/>
          </w:tcPr>
          <w:p>
            <w:r>
              <w:rPr>
                <w:rFonts w:ascii="Times New Roman" w:hAnsi="Times New Roman"/>
                <w:sz w:val="20"/>
              </w:rPr>
              <w:t>—</w:t>
            </w:r>
          </w:p>
        </w:tc>
        <w:tc>
          <w:tcPr>
            <w:tcW w:type="dxa" w:w="3024"/>
          </w:tcPr>
          <w:p>
            <w:r>
              <w:rPr>
                <w:rFonts w:ascii="Times New Roman" w:hAnsi="Times New Roman"/>
                <w:sz w:val="20"/>
              </w:rPr>
              <w:t>Beschaffenheitsvereinbarung</w:t>
            </w:r>
          </w:p>
        </w:tc>
      </w:tr>
      <w:tr>
        <w:tc>
          <w:tcPr>
            <w:tcW w:type="dxa" w:w="3024"/>
          </w:tcPr>
          <w:p>
            <w:r>
              <w:rPr>
                <w:rFonts w:ascii="Times New Roman" w:hAnsi="Times New Roman"/>
                <w:sz w:val="20"/>
              </w:rPr>
              <w:t>Lorenz, NJW 2022, 2497</w:t>
            </w:r>
          </w:p>
        </w:tc>
        <w:tc>
          <w:tcPr>
            <w:tcW w:type="dxa" w:w="3024"/>
          </w:tcPr>
          <w:p>
            <w:r>
              <w:rPr>
                <w:rFonts w:ascii="Times New Roman" w:hAnsi="Times New Roman"/>
                <w:sz w:val="20"/>
              </w:rPr>
              <w:t>—</w:t>
            </w:r>
          </w:p>
        </w:tc>
        <w:tc>
          <w:tcPr>
            <w:tcW w:type="dxa" w:w="3024"/>
          </w:tcPr>
          <w:p>
            <w:r>
              <w:rPr>
                <w:rFonts w:ascii="Times New Roman" w:hAnsi="Times New Roman"/>
                <w:sz w:val="20"/>
              </w:rPr>
              <w:t>Reform des Kaufrechts 2022</w:t>
            </w:r>
          </w:p>
        </w:tc>
      </w:tr>
      <w:tr>
        <w:tc>
          <w:tcPr>
            <w:tcW w:type="dxa" w:w="3024"/>
          </w:tcPr>
          <w:p>
            <w:r>
              <w:rPr>
                <w:rFonts w:ascii="Times New Roman" w:hAnsi="Times New Roman"/>
                <w:sz w:val="20"/>
              </w:rPr>
              <w:t>Faust, JuS 2022, 481</w:t>
            </w:r>
          </w:p>
        </w:tc>
        <w:tc>
          <w:tcPr>
            <w:tcW w:type="dxa" w:w="3024"/>
          </w:tcPr>
          <w:p>
            <w:r>
              <w:rPr>
                <w:rFonts w:ascii="Times New Roman" w:hAnsi="Times New Roman"/>
                <w:sz w:val="20"/>
              </w:rPr>
              <w:t>—</w:t>
            </w:r>
          </w:p>
        </w:tc>
        <w:tc>
          <w:tcPr>
            <w:tcW w:type="dxa" w:w="3024"/>
          </w:tcPr>
          <w:p>
            <w:r>
              <w:rPr>
                <w:rFonts w:ascii="Times New Roman" w:hAnsi="Times New Roman"/>
                <w:sz w:val="20"/>
              </w:rPr>
              <w:t>Sachmangelbegriff nach Modernisierung</w:t>
            </w:r>
          </w:p>
        </w:tc>
      </w:tr>
      <w:tr>
        <w:tc>
          <w:tcPr>
            <w:tcW w:type="dxa" w:w="3024"/>
          </w:tcPr>
          <w:p>
            <w:r>
              <w:rPr>
                <w:rFonts w:ascii="Times New Roman" w:hAnsi="Times New Roman"/>
                <w:sz w:val="20"/>
              </w:rPr>
              <w:t>BGH NJW 2014, 2183</w:t>
            </w:r>
          </w:p>
        </w:tc>
        <w:tc>
          <w:tcPr>
            <w:tcW w:type="dxa" w:w="3024"/>
          </w:tcPr>
          <w:p>
            <w:r>
              <w:rPr>
                <w:rFonts w:ascii="Times New Roman" w:hAnsi="Times New Roman"/>
                <w:sz w:val="20"/>
              </w:rPr>
              <w:t>—</w:t>
            </w:r>
          </w:p>
        </w:tc>
        <w:tc>
          <w:tcPr>
            <w:tcW w:type="dxa" w:w="3024"/>
          </w:tcPr>
          <w:p>
            <w:r>
              <w:rPr>
                <w:rFonts w:ascii="Times New Roman" w:hAnsi="Times New Roman"/>
                <w:sz w:val="20"/>
              </w:rPr>
              <w:t>Gefahrübergang § 446 BGB</w:t>
            </w:r>
          </w:p>
        </w:tc>
      </w:tr>
    </w:tbl>
    <w:p/>
    <w:p>
      <w:pPr>
        <w:jc w:val="left"/>
      </w:pPr>
      <w:r>
        <w:rPr>
          <w:i/>
        </w:rPr>
        <w:t>Aktenstück 06 von 22 — Schlechtleistung §§ 434, 437 BGB Sachmangel-Kontrolle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