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Nacherfüllung: § 439 BGB — Nachbesserung, Verweigerung, Entbehrlichkeit der Fristsetzung</w:t>
      </w:r>
    </w:p>
    <w:p>
      <w:pPr>
        <w:jc w:val="left"/>
      </w:pPr>
      <w:r>
        <w:rPr>
          <w:b/>
        </w:rPr>
        <w:t>Bearbeiter:</w:t>
      </w:r>
      <w:r>
        <w:t xml:space="preserve"> Konrad Pohlmann</w:t>
      </w:r>
    </w:p>
    <w:p>
      <w:pPr>
        <w:jc w:val="left"/>
      </w:pPr>
      <w:r>
        <w:rPr>
          <w:b/>
        </w:rPr>
        <w:t>Stand:</w:t>
      </w:r>
      <w:r>
        <w:t xml:space="preserve"> 21.04.2026</w:t>
      </w:r>
    </w:p>
    <w:p/>
    <w:p>
      <w:pPr>
        <w:pStyle w:val="Heading2"/>
      </w:pPr>
      <w:r>
        <w:rPr>
          <w:rFonts w:ascii="Times New Roman" w:hAnsi="Times New Roman"/>
        </w:rPr>
        <w:t>Kernfrage</w:t>
      </w:r>
    </w:p>
    <w:p>
      <w:pPr>
        <w:jc w:val="left"/>
      </w:pPr>
      <w:r>
        <w:t>B hat am 01.04.2026 bei Übergabe die Farbabplatzung gerügt und von A Nachbesserung verlangt. A hat dies abgelehnt. Ist die Ablehnung des A eine „ernsthafte und endgültige Erfüllungsverweigerung" im Sinne von § 323 Abs. 2 Nr. 1 BGB, die die Fristsetzung für Rücktritt und Schadensersatz entbehrlich macht?</w:t>
      </w:r>
    </w:p>
    <w:p/>
    <w:p>
      <w:pPr>
        <w:pStyle w:val="Heading2"/>
      </w:pPr>
      <w:r>
        <w:rPr>
          <w:rFonts w:ascii="Times New Roman" w:hAnsi="Times New Roman"/>
        </w:rPr>
        <w:t>I. Nacherfüllungsanspruch (§ 439 BGB)</w:t>
      </w:r>
    </w:p>
    <w:p>
      <w:pPr>
        <w:pStyle w:val="Heading3"/>
      </w:pPr>
      <w:r>
        <w:rPr>
          <w:rFonts w:ascii="Times New Roman" w:hAnsi="Times New Roman"/>
        </w:rPr>
        <w:t>Normstruktur</w:t>
      </w:r>
    </w:p>
    <w:p>
      <w:pPr>
        <w:jc w:val="left"/>
      </w:pPr>
      <w:r>
        <w:t>§ 439 Abs. 1 BGB gibt dem Käufer das Recht, nach seiner Wahl Beseitigung des Mangels (Nachbesserung) oder Lieferung einer mangelfreien Sache (Nachlieferung) zu verlangen.</w:t>
      </w:r>
    </w:p>
    <w:p>
      <w:pPr>
        <w:jc w:val="left"/>
      </w:pPr>
      <w:r>
        <w:t>Der Verkäufer kann die gewählte Art der Nacherfüllung unter den Voraussetzungen des § 439 Abs. 4 BGB verweigern (unverhältnismäßige Kosten, Unmöglichkeit).</w:t>
      </w:r>
    </w:p>
    <w:p>
      <w:pPr>
        <w:pStyle w:val="Heading3"/>
      </w:pPr>
      <w:r>
        <w:rPr>
          <w:rFonts w:ascii="Times New Roman" w:hAnsi="Times New Roman"/>
        </w:rPr>
        <w:t>Subsumtion</w:t>
      </w:r>
    </w:p>
    <w:p>
      <w:pPr>
        <w:jc w:val="left"/>
      </w:pPr>
      <w:r>
        <w:rPr>
          <w:b/>
        </w:rPr>
        <w:t>Entstehung des Nacherfüllungsanspruchs:</w:t>
      </w:r>
    </w:p>
    <w:p>
      <w:pPr>
        <w:pStyle w:val="ListBullet"/>
      </w:pPr>
      <w:r>
        <w:t>Kaufvertrag ✓</w:t>
      </w:r>
    </w:p>
    <w:p>
      <w:pPr>
        <w:pStyle w:val="ListBullet"/>
      </w:pPr>
      <w:r>
        <w:t>Sachmangel bei Gefahrübergang ✓ (Farbabplatzung, § 434 Abs. 2 BGB)</w:t>
      </w:r>
    </w:p>
    <w:p>
      <w:pPr>
        <w:pStyle w:val="ListBullet"/>
      </w:pPr>
      <w:r>
        <w:t>B hat Nachbesserung gewählt und verlangt (01.04.2026) ✓</w:t>
      </w:r>
    </w:p>
    <w:p>
      <w:pPr>
        <w:jc w:val="left"/>
      </w:pPr>
      <w:r>
        <w:rPr>
          <w:b/>
        </w:rPr>
        <w:t>Berechtigte Verweigerung durch A (§ 439 Abs. 4 BGB)?</w:t>
      </w:r>
    </w:p>
    <w:p>
      <w:pPr>
        <w:jc w:val="left"/>
      </w:pPr>
      <w:r>
        <w:t>A hat die Nachbesserung abgelehnt mit der Begründung, er kenne den Schaden nicht und das Gemälde sei vertragsgemäß. Diese Begründung ist keine Berufung auf § 439 Abs. 4 BGB (Unverhältnismäßigkeit), sondern eine schlichte Leugnung des Mangels.</w:t>
      </w:r>
    </w:p>
    <w:p>
      <w:pPr>
        <w:jc w:val="left"/>
      </w:pPr>
      <w:r>
        <w:t>Selbst wenn A berechtigte Zweifel am Mangel hatte: Der Sachverhalt lässt keinen Raum für eine Verweigerung nach § 439 Abs. 4 BGB, da nicht dargelegt ist, dass die Nachbesserung unverhältnismäßig teuer wäre. Eine Farbabplatzung von 3 × 5 cm bei einem Gemälde im Wert von 4.800 Euro ist in aller Regel durch einen Restaurator behebbar.</w:t>
      </w:r>
    </w:p>
    <w:p>
      <w:pPr>
        <w:jc w:val="left"/>
      </w:pPr>
      <w:r>
        <w:rPr>
          <w:b/>
        </w:rPr>
        <w:t>Ergebnis:</w:t>
      </w:r>
      <w:r>
        <w:t xml:space="preserve"> Nacherfüllungsanspruch entstanden (+), von A ohne berechtigten Grund verweigert.</w:t>
      </w:r>
    </w:p>
    <w:p/>
    <w:p>
      <w:pPr>
        <w:pStyle w:val="Heading2"/>
      </w:pPr>
      <w:r>
        <w:rPr>
          <w:rFonts w:ascii="Times New Roman" w:hAnsi="Times New Roman"/>
        </w:rPr>
        <w:t>II. Wirkung der Verweigerung: Entbehrlichkeit der Fristsetzung</w:t>
      </w:r>
    </w:p>
    <w:p>
      <w:pPr>
        <w:pStyle w:val="Heading3"/>
      </w:pPr>
      <w:r>
        <w:rPr>
          <w:rFonts w:ascii="Times New Roman" w:hAnsi="Times New Roman"/>
        </w:rPr>
        <w:t>Grundregel</w:t>
      </w:r>
    </w:p>
    <w:p>
      <w:pPr>
        <w:jc w:val="left"/>
      </w:pPr>
      <w:r>
        <w:t>Für Rücktritt (§ 323 Abs. 1 BGB) und Schadensersatz statt der Leistung (§ 281 Abs. 1 BGB) muss der Käufer dem Verkäufer grundsätzlich eine angemessene Frist zur Nacherfüllung setzen.</w:t>
      </w:r>
    </w:p>
    <w:p>
      <w:pPr>
        <w:jc w:val="left"/>
      </w:pPr>
      <w:r>
        <w:t xml:space="preserve">B hat </w:t>
      </w:r>
      <w:r>
        <w:rPr>
          <w:b/>
        </w:rPr>
        <w:t>keine ausdrückliche schriftliche Frist</w:t>
      </w:r>
      <w:r>
        <w:t xml:space="preserve"> gesetzt. Er hat lediglich erklärt, er werde „noch dieser Woche" anderweitig für Abhilfe sorgen.</w:t>
      </w:r>
    </w:p>
    <w:p>
      <w:pPr>
        <w:pStyle w:val="Heading3"/>
      </w:pPr>
      <w:r>
        <w:rPr>
          <w:rFonts w:ascii="Times New Roman" w:hAnsi="Times New Roman"/>
        </w:rPr>
        <w:t>Entbehrlichkeit nach § 323 Abs. 2 Nr. 1 BGB</w:t>
      </w:r>
    </w:p>
    <w:p>
      <w:pPr>
        <w:jc w:val="left"/>
      </w:pPr>
      <w:r>
        <w:t>§ 323 Abs. 2 Nr. 1 BGB: Die Fristsetzung ist entbehrlich, wenn der Schuldner die Leistung ernsthaft und endgültig verweigert.</w:t>
      </w:r>
    </w:p>
    <w:p>
      <w:pPr>
        <w:jc w:val="left"/>
      </w:pPr>
      <w:r>
        <w:rPr>
          <w:b/>
        </w:rPr>
        <w:t>Prüfung:</w:t>
      </w:r>
    </w:p>
    <w:p>
      <w:pPr>
        <w:jc w:val="left"/>
      </w:pPr>
      <w:r>
        <w:t>A hat erklärt, er kenne den Schaden nicht und das Gemälde befinde sich im vertragsgemäßen Zustand. Das ist eine klare, vollständige Ablehnung des Nacherfüllungsverlangens.</w:t>
      </w:r>
    </w:p>
    <w:p>
      <w:pPr>
        <w:jc w:val="left"/>
      </w:pPr>
      <w:r>
        <w:rPr>
          <w:b/>
        </w:rPr>
        <w:t>Streitstand: Wann liegt „ernsthafte und endgültige Verweigerung" vor?</w:t>
      </w:r>
    </w:p>
    <w:p>
      <w:pPr>
        <w:jc w:val="left"/>
      </w:pPr>
      <w:r>
        <w:t>Die h. M. (BGH NJW 2011, 2785, 2787 Rn. 20; Palandt/Grüneberg, § 323 Rn. 16 f.) stellt darauf ab, ob der Schuldner eindeutig und unumkehrbar erklärt hat, nicht leisten zu wollen. Es genügt nicht, wenn der Schuldner nur Zweifel am Mangel äußert oder um Prüfung bittet.</w:t>
      </w:r>
    </w:p>
    <w:p>
      <w:pPr>
        <w:jc w:val="left"/>
      </w:pPr>
      <w:r>
        <w:rPr>
          <w:b/>
        </w:rPr>
        <w:t>Im vorliegenden Fall:</w:t>
      </w:r>
      <w:r>
        <w:t xml:space="preserve"> A hat nicht nur Zweifel geäußert, sondern die Nacherfüllungspflicht rundheraus abgelehnt — er sieht keinen Mangel und will nichts tun. Das ist nach zutreffender Ansicht eine endgültige Verweigerung (so auch BGH NJW 2014, 1233, 1234 für vergleichbare Konstellation).</w:t>
      </w:r>
    </w:p>
    <w:p>
      <w:pPr>
        <w:jc w:val="left"/>
      </w:pPr>
      <w:r>
        <w:rPr>
          <w:b/>
        </w:rPr>
        <w:t>Gegenmeinung:</w:t>
      </w:r>
      <w:r>
        <w:t xml:space="preserve"> Teile des Schrifttums (Staudinger/Otto, § 323 Rn. B 100) fordern, dass die Verweigerung auch nach Fristsetzung weitergelten würde. Dieser Standpunkt ist zu eng und überzeugt nicht, da er die praktische Bedeutung von § 323 Abs. 2 Nr. 1 BGB aushöhlt.</w:t>
      </w:r>
    </w:p>
    <w:p>
      <w:pPr>
        <w:jc w:val="left"/>
      </w:pPr>
      <w:r>
        <w:rPr>
          <w:b/>
        </w:rPr>
        <w:t>Ergebnis:</w:t>
      </w:r>
      <w:r>
        <w:t xml:space="preserve"> Fristsetzung nach § 323 Abs. 2 Nr. 1 BGB entbehrlich. (+)</w:t>
      </w:r>
    </w:p>
    <w:p/>
    <w:p>
      <w:pPr>
        <w:pStyle w:val="Heading2"/>
      </w:pPr>
      <w:r>
        <w:rPr>
          <w:rFonts w:ascii="Times New Roman" w:hAnsi="Times New Roman"/>
        </w:rPr>
        <w:t>III. Besonderheit Verbrauchsgüterkauf: § 475 Abs. 4 BGB n.F.</w:t>
      </w:r>
    </w:p>
    <w:p>
      <w:pPr>
        <w:jc w:val="left"/>
      </w:pPr>
      <w:r>
        <w:t>Beim Verbrauchsgüterkauf (A = Unternehmer, B = Verbraucher) gilt § 475 Abs. 4 BGB: Der Verkäufer hat das Recht zur zweiten Andienung (zwei Versuche zur Nacherfüllung), bevor der Käufer zurücktreten kann — es sei denn, die Verweigerung greift. Da A die Nacherfüllung verweigert hat, ist auch die Zweite-Andienung-Klausel obsolet.</w:t>
      </w:r>
    </w:p>
    <w:p/>
    <w:p>
      <w:pPr>
        <w:pStyle w:val="Heading2"/>
      </w:pPr>
      <w:r>
        <w:rPr>
          <w:rFonts w:ascii="Times New Roman" w:hAnsi="Times New Roman"/>
        </w:rPr>
        <w:t>IV. Zwischenergebnis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Nacherfüllungsanspruch entstanden</w:t>
            </w:r>
          </w:p>
        </w:tc>
        <w:tc>
          <w:tcPr>
            <w:tcW w:type="dxa" w:w="4536"/>
          </w:tcPr>
          <w:p>
            <w:r>
              <w:rPr>
                <w:rFonts w:ascii="Times New Roman" w:hAnsi="Times New Roman"/>
                <w:sz w:val="20"/>
              </w:rPr>
              <w:t>(+)</w:t>
            </w:r>
          </w:p>
        </w:tc>
      </w:tr>
      <w:tr>
        <w:tc>
          <w:tcPr>
            <w:tcW w:type="dxa" w:w="4536"/>
          </w:tcPr>
          <w:p>
            <w:r>
              <w:rPr>
                <w:rFonts w:ascii="Times New Roman" w:hAnsi="Times New Roman"/>
                <w:sz w:val="20"/>
              </w:rPr>
              <w:t>Berechtigte Verweigerung durch A</w:t>
            </w:r>
          </w:p>
        </w:tc>
        <w:tc>
          <w:tcPr>
            <w:tcW w:type="dxa" w:w="4536"/>
          </w:tcPr>
          <w:p>
            <w:r>
              <w:rPr>
                <w:rFonts w:ascii="Times New Roman" w:hAnsi="Times New Roman"/>
                <w:sz w:val="20"/>
              </w:rPr>
              <w:t>(-)</w:t>
            </w:r>
          </w:p>
        </w:tc>
      </w:tr>
      <w:tr>
        <w:tc>
          <w:tcPr>
            <w:tcW w:type="dxa" w:w="4536"/>
          </w:tcPr>
          <w:p>
            <w:r>
              <w:rPr>
                <w:rFonts w:ascii="Times New Roman" w:hAnsi="Times New Roman"/>
                <w:sz w:val="20"/>
              </w:rPr>
              <w:t>Fristsetzung erforderlich</w:t>
            </w:r>
          </w:p>
        </w:tc>
        <w:tc>
          <w:tcPr>
            <w:tcW w:type="dxa" w:w="4536"/>
          </w:tcPr>
          <w:p>
            <w:r>
              <w:rPr>
                <w:rFonts w:ascii="Times New Roman" w:hAnsi="Times New Roman"/>
                <w:sz w:val="20"/>
              </w:rPr>
              <w:t>Grundsätzlich ja</w:t>
            </w:r>
          </w:p>
        </w:tc>
      </w:tr>
      <w:tr>
        <w:tc>
          <w:tcPr>
            <w:tcW w:type="dxa" w:w="4536"/>
          </w:tcPr>
          <w:p>
            <w:r>
              <w:rPr>
                <w:rFonts w:ascii="Times New Roman" w:hAnsi="Times New Roman"/>
                <w:sz w:val="20"/>
              </w:rPr>
              <w:t>Fristsetzung entbehrlich</w:t>
            </w:r>
          </w:p>
        </w:tc>
        <w:tc>
          <w:tcPr>
            <w:tcW w:type="dxa" w:w="4536"/>
          </w:tcPr>
          <w:p>
            <w:r>
              <w:rPr>
                <w:rFonts w:ascii="Times New Roman" w:hAnsi="Times New Roman"/>
                <w:sz w:val="20"/>
              </w:rPr>
              <w:t>(+) gemäß § 323 Abs. 2 Nr. 1 BGB</w:t>
            </w:r>
          </w:p>
        </w:tc>
      </w:tr>
      <w:tr>
        <w:tc>
          <w:tcPr>
            <w:tcW w:type="dxa" w:w="4536"/>
          </w:tcPr>
          <w:p>
            <w:r>
              <w:rPr>
                <w:rFonts w:ascii="Times New Roman" w:hAnsi="Times New Roman"/>
                <w:sz w:val="20"/>
              </w:rPr>
              <w:t>Verbrauchsgüterkauf-Besonderheit</w:t>
            </w:r>
          </w:p>
        </w:tc>
        <w:tc>
          <w:tcPr>
            <w:tcW w:type="dxa" w:w="4536"/>
          </w:tcPr>
          <w:p>
            <w:r>
              <w:rPr>
                <w:rFonts w:ascii="Times New Roman" w:hAnsi="Times New Roman"/>
                <w:sz w:val="20"/>
              </w:rPr>
              <w:t>Keine Relevanz wegen Verweigerung</w:t>
            </w:r>
          </w:p>
        </w:tc>
      </w:tr>
    </w:tbl>
    <w:p/>
    <w:p>
      <w:pPr>
        <w:pStyle w:val="Heading2"/>
      </w:pPr>
      <w:r>
        <w:rPr>
          <w:rFonts w:ascii="Times New Roman" w:hAnsi="Times New Roman"/>
        </w:rPr>
        <w:t>Literatur-Vormerkliste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Quelle</w:t>
            </w:r>
          </w:p>
        </w:tc>
        <w:tc>
          <w:tcPr>
            <w:tcW w:type="dxa" w:w="3024"/>
          </w:tcPr>
          <w:p>
            <w:r>
              <w:rPr>
                <w:rFonts w:ascii="Times New Roman" w:hAnsi="Times New Roman"/>
                <w:b/>
                <w:sz w:val="20"/>
              </w:rPr>
              <w:t>Fundstelle</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Palandt/Weidenkaff</w:t>
            </w:r>
          </w:p>
        </w:tc>
        <w:tc>
          <w:tcPr>
            <w:tcW w:type="dxa" w:w="3024"/>
          </w:tcPr>
          <w:p>
            <w:r>
              <w:rPr>
                <w:rFonts w:ascii="Times New Roman" w:hAnsi="Times New Roman"/>
                <w:sz w:val="20"/>
              </w:rPr>
              <w:t>§ 439 BGB, Rn. 1 ff.</w:t>
            </w:r>
          </w:p>
        </w:tc>
        <w:tc>
          <w:tcPr>
            <w:tcW w:type="dxa" w:w="3024"/>
          </w:tcPr>
          <w:p>
            <w:r>
              <w:rPr>
                <w:rFonts w:ascii="Times New Roman" w:hAnsi="Times New Roman"/>
                <w:sz w:val="20"/>
              </w:rPr>
              <w:t>Nacherfüllungsanspruch, Verweigerungsrecht</w:t>
            </w:r>
          </w:p>
        </w:tc>
      </w:tr>
      <w:tr>
        <w:tc>
          <w:tcPr>
            <w:tcW w:type="dxa" w:w="3024"/>
          </w:tcPr>
          <w:p>
            <w:r>
              <w:rPr>
                <w:rFonts w:ascii="Times New Roman" w:hAnsi="Times New Roman"/>
                <w:sz w:val="20"/>
              </w:rPr>
              <w:t>MüKo/Westermann</w:t>
            </w:r>
          </w:p>
        </w:tc>
        <w:tc>
          <w:tcPr>
            <w:tcW w:type="dxa" w:w="3024"/>
          </w:tcPr>
          <w:p>
            <w:r>
              <w:rPr>
                <w:rFonts w:ascii="Times New Roman" w:hAnsi="Times New Roman"/>
                <w:sz w:val="20"/>
              </w:rPr>
              <w:t>§ 439 BGB, Rn. 30 ff.</w:t>
            </w:r>
          </w:p>
        </w:tc>
        <w:tc>
          <w:tcPr>
            <w:tcW w:type="dxa" w:w="3024"/>
          </w:tcPr>
          <w:p>
            <w:r>
              <w:rPr>
                <w:rFonts w:ascii="Times New Roman" w:hAnsi="Times New Roman"/>
                <w:sz w:val="20"/>
              </w:rPr>
              <w:t>Unverhältnismäßigkeit der Nacherfüllung</w:t>
            </w:r>
          </w:p>
        </w:tc>
      </w:tr>
      <w:tr>
        <w:tc>
          <w:tcPr>
            <w:tcW w:type="dxa" w:w="3024"/>
          </w:tcPr>
          <w:p>
            <w:r>
              <w:rPr>
                <w:rFonts w:ascii="Times New Roman" w:hAnsi="Times New Roman"/>
                <w:sz w:val="20"/>
              </w:rPr>
              <w:t>BGH NJW 2011, 2785</w:t>
            </w:r>
          </w:p>
        </w:tc>
        <w:tc>
          <w:tcPr>
            <w:tcW w:type="dxa" w:w="3024"/>
          </w:tcPr>
          <w:p>
            <w:r>
              <w:rPr>
                <w:rFonts w:ascii="Times New Roman" w:hAnsi="Times New Roman"/>
                <w:sz w:val="20"/>
              </w:rPr>
              <w:t>—</w:t>
            </w:r>
          </w:p>
        </w:tc>
        <w:tc>
          <w:tcPr>
            <w:tcW w:type="dxa" w:w="3024"/>
          </w:tcPr>
          <w:p>
            <w:r>
              <w:rPr>
                <w:rFonts w:ascii="Times New Roman" w:hAnsi="Times New Roman"/>
                <w:sz w:val="20"/>
              </w:rPr>
              <w:t>Ernsthafte und endgültige Verweigerung</w:t>
            </w:r>
          </w:p>
        </w:tc>
      </w:tr>
      <w:tr>
        <w:tc>
          <w:tcPr>
            <w:tcW w:type="dxa" w:w="3024"/>
          </w:tcPr>
          <w:p>
            <w:r>
              <w:rPr>
                <w:rFonts w:ascii="Times New Roman" w:hAnsi="Times New Roman"/>
                <w:sz w:val="20"/>
              </w:rPr>
              <w:t>BGH NJW 2014, 1233</w:t>
            </w:r>
          </w:p>
        </w:tc>
        <w:tc>
          <w:tcPr>
            <w:tcW w:type="dxa" w:w="3024"/>
          </w:tcPr>
          <w:p>
            <w:r>
              <w:rPr>
                <w:rFonts w:ascii="Times New Roman" w:hAnsi="Times New Roman"/>
                <w:sz w:val="20"/>
              </w:rPr>
              <w:t>—</w:t>
            </w:r>
          </w:p>
        </w:tc>
        <w:tc>
          <w:tcPr>
            <w:tcW w:type="dxa" w:w="3024"/>
          </w:tcPr>
          <w:p>
            <w:r>
              <w:rPr>
                <w:rFonts w:ascii="Times New Roman" w:hAnsi="Times New Roman"/>
                <w:sz w:val="20"/>
              </w:rPr>
              <w:t>Entbehrlichkeit Fristsetzung bei Ablehnung</w:t>
            </w:r>
          </w:p>
        </w:tc>
      </w:tr>
      <w:tr>
        <w:tc>
          <w:tcPr>
            <w:tcW w:type="dxa" w:w="3024"/>
          </w:tcPr>
          <w:p>
            <w:r>
              <w:rPr>
                <w:rFonts w:ascii="Times New Roman" w:hAnsi="Times New Roman"/>
                <w:sz w:val="20"/>
              </w:rPr>
              <w:t>Staudinger/Otto</w:t>
            </w:r>
          </w:p>
        </w:tc>
        <w:tc>
          <w:tcPr>
            <w:tcW w:type="dxa" w:w="3024"/>
          </w:tcPr>
          <w:p>
            <w:r>
              <w:rPr>
                <w:rFonts w:ascii="Times New Roman" w:hAnsi="Times New Roman"/>
                <w:sz w:val="20"/>
              </w:rPr>
              <w:t>§ 323 BGB, Rn. B 100</w:t>
            </w:r>
          </w:p>
        </w:tc>
        <w:tc>
          <w:tcPr>
            <w:tcW w:type="dxa" w:w="3024"/>
          </w:tcPr>
          <w:p>
            <w:r>
              <w:rPr>
                <w:rFonts w:ascii="Times New Roman" w:hAnsi="Times New Roman"/>
                <w:sz w:val="20"/>
              </w:rPr>
              <w:t>Mindermeinung zu Entbehrlichkeit</w:t>
            </w:r>
          </w:p>
        </w:tc>
      </w:tr>
      <w:tr>
        <w:tc>
          <w:tcPr>
            <w:tcW w:type="dxa" w:w="3024"/>
          </w:tcPr>
          <w:p>
            <w:r>
              <w:rPr>
                <w:rFonts w:ascii="Times New Roman" w:hAnsi="Times New Roman"/>
                <w:sz w:val="20"/>
              </w:rPr>
              <w:t>Lorenz, NJW 2022, 2497</w:t>
            </w:r>
          </w:p>
        </w:tc>
        <w:tc>
          <w:tcPr>
            <w:tcW w:type="dxa" w:w="3024"/>
          </w:tcPr>
          <w:p>
            <w:r>
              <w:rPr>
                <w:rFonts w:ascii="Times New Roman" w:hAnsi="Times New Roman"/>
                <w:sz w:val="20"/>
              </w:rPr>
              <w:t>—</w:t>
            </w:r>
          </w:p>
        </w:tc>
        <w:tc>
          <w:tcPr>
            <w:tcW w:type="dxa" w:w="3024"/>
          </w:tcPr>
          <w:p>
            <w:r>
              <w:rPr>
                <w:rFonts w:ascii="Times New Roman" w:hAnsi="Times New Roman"/>
                <w:sz w:val="20"/>
              </w:rPr>
              <w:t>Verbrauchsgüterkauf-Reform, zweite Andienung</w:t>
            </w:r>
          </w:p>
        </w:tc>
      </w:tr>
    </w:tbl>
    <w:p/>
    <w:p>
      <w:pPr>
        <w:jc w:val="left"/>
      </w:pPr>
      <w:r>
        <w:rPr>
          <w:i/>
        </w:rPr>
        <w:t>Aktenstück 07 von 22 — Nacherfüllung § 439 BGB, Verweigerung, Fristsetzungsentbehrlichkeit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