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Rücktritt: §§ 323, 326, 437 Nr. 2 BGB — Prüfschema und Subsumtion</w:t>
      </w:r>
    </w:p>
    <w:p>
      <w:pPr>
        <w:jc w:val="left"/>
      </w:pPr>
      <w:r>
        <w:rPr>
          <w:b/>
        </w:rPr>
        <w:t>Bearbeiter:</w:t>
      </w:r>
      <w:r>
        <w:t xml:space="preserve"> Konrad Pohlmann</w:t>
      </w:r>
    </w:p>
    <w:p>
      <w:pPr>
        <w:jc w:val="left"/>
      </w:pPr>
      <w:r>
        <w:rPr>
          <w:b/>
        </w:rPr>
        <w:t>Stand:</w:t>
      </w:r>
      <w:r>
        <w:t xml:space="preserve"> 22.04.2026</w:t>
      </w:r>
    </w:p>
    <w:p/>
    <w:p>
      <w:pPr>
        <w:pStyle w:val="Heading2"/>
      </w:pPr>
      <w:r>
        <w:rPr>
          <w:rFonts w:ascii="Times New Roman" w:hAnsi="Times New Roman"/>
        </w:rPr>
        <w:t>Überblick: Rücktrittsrecht des B bei Sachmangel</w:t>
      </w:r>
    </w:p>
    <w:p>
      <w:pPr>
        <w:jc w:val="left"/>
      </w:pPr>
      <w:r>
        <w:t>Liegt ein Sachmangel vor und hat B dem A erfolglos eine Frist zur Nacherfüllung gesetzt (oder war die Fristsetzung entbehrlich), kann B nach § 437 Nr. 2 i. V. m. §§ 440, 323 BGB vom Kaufvertrag zurücktreten.</w:t>
      </w:r>
    </w:p>
    <w:p>
      <w:pPr>
        <w:jc w:val="left"/>
      </w:pPr>
      <w:r>
        <w:t>Voraussetzungen im Überblick:</w:t>
      </w:r>
    </w:p>
    <w:p>
      <w:pPr>
        <w:pStyle w:val="ListNumber"/>
      </w:pPr>
      <w:r>
        <w:t>Wirksamer Kaufvertrag ✓</w:t>
      </w:r>
    </w:p>
    <w:p>
      <w:pPr>
        <w:pStyle w:val="ListNumber"/>
      </w:pPr>
      <w:r>
        <w:t>Sachmangel (§ 434 BGB) ✓</w:t>
      </w:r>
    </w:p>
    <w:p>
      <w:pPr>
        <w:pStyle w:val="ListNumber"/>
      </w:pPr>
      <w:r>
        <w:t>Erfolglose Nacherfüllung oder Entbehrlichkeit der Fristsetzung ✓ (s. Aktenstück 07)</w:t>
      </w:r>
    </w:p>
    <w:p>
      <w:pPr>
        <w:pStyle w:val="ListNumber"/>
      </w:pPr>
      <w:r>
        <w:t>Ausschluss des Rücktrittsrechts? (§ 323 Abs. 5 S. 2 BGB — unerhebliche Pflichtverletzung)</w:t>
      </w:r>
    </w:p>
    <w:p>
      <w:pPr>
        <w:pStyle w:val="ListNumber"/>
      </w:pPr>
      <w:r>
        <w:t>Rücktrittserklärung (§ 349 BGB)</w:t>
      </w:r>
    </w:p>
    <w:p>
      <w:pPr>
        <w:pStyle w:val="ListNumber"/>
      </w:pPr>
      <w:r>
        <w:t>Rechtsfolge: §§ 346 ff. BGB (Rückabwicklung)</w:t>
      </w:r>
    </w:p>
    <w:p/>
    <w:p>
      <w:pPr>
        <w:pStyle w:val="Heading2"/>
      </w:pPr>
      <w:r>
        <w:rPr>
          <w:rFonts w:ascii="Times New Roman" w:hAnsi="Times New Roman"/>
        </w:rPr>
        <w:t>I. Prüfschema</w:t>
      </w:r>
    </w:p>
    <w:p>
      <w:pPr>
        <w:pStyle w:val="Heading3"/>
      </w:pPr>
      <w:r>
        <w:rPr>
          <w:rFonts w:ascii="Times New Roman" w:hAnsi="Times New Roman"/>
        </w:rPr>
        <w:t>Schritt 1: Pflichtverletzung (§ 323 Abs. 1 BGB)</w:t>
      </w:r>
    </w:p>
    <w:p>
      <w:pPr>
        <w:jc w:val="left"/>
      </w:pPr>
      <w:r>
        <w:t>A hat eine mangelhafte Sache geliefert. Das ist eine Schlechtleistung und damit Pflichtverletzung im Sinne von § 241 Abs. 1 BGB (vgl. § 433 Abs. 1 S. 2 BGB: Übergabe frei von Sachmängeln geschuldet).</w:t>
      </w:r>
    </w:p>
    <w:p>
      <w:pPr>
        <w:pStyle w:val="Heading3"/>
      </w:pPr>
      <w:r>
        <w:rPr>
          <w:rFonts w:ascii="Times New Roman" w:hAnsi="Times New Roman"/>
        </w:rPr>
        <w:t>Schritt 2: Fristsetzung und ihr Ergebnis</w:t>
      </w:r>
    </w:p>
    <w:p>
      <w:pPr>
        <w:jc w:val="left"/>
      </w:pPr>
      <w:r>
        <w:t>Grundsatz: § 323 Abs. 1 BGB verlangt erfolglose Fristsetzung zur Nacherfüllung.</w:t>
      </w:r>
    </w:p>
    <w:p>
      <w:pPr>
        <w:jc w:val="left"/>
      </w:pPr>
      <w:r>
        <w:t>Hier: Fristsetzung entbehrlich nach § 323 Abs. 2 Nr. 1 BGB, da A die Nachbesserung endgültig verweigert hat (vgl. Aktenstück 07). ✓</w:t>
      </w:r>
    </w:p>
    <w:p>
      <w:pPr>
        <w:pStyle w:val="Heading3"/>
      </w:pPr>
      <w:r>
        <w:rPr>
          <w:rFonts w:ascii="Times New Roman" w:hAnsi="Times New Roman"/>
        </w:rPr>
        <w:t>Schritt 3: Ausschluss nach § 323 Abs. 5 S. 2 BGB (Erheblichkeit)</w:t>
      </w:r>
    </w:p>
    <w:p>
      <w:pPr>
        <w:jc w:val="left"/>
      </w:pPr>
      <w:r>
        <w:t>```</w:t>
      </w:r>
    </w:p>
    <w:p>
      <w:pPr>
        <w:jc w:val="left"/>
      </w:pPr>
      <w:r>
        <w:t>§ 323 Abs. 5 S. 2 BGB:</w:t>
      </w:r>
    </w:p>
    <w:p>
      <w:pPr>
        <w:jc w:val="left"/>
      </w:pPr>
      <w:r>
        <w:t>"Hat der Schuldner die Leistung nicht vertragsgemäß bewirkt, so kann der Gläubiger</w:t>
      </w:r>
    </w:p>
    <w:p>
      <w:pPr>
        <w:jc w:val="left"/>
      </w:pPr>
      <w:r>
        <w:t>vom Vertrag nicht zurücktreten, wenn die Pflichtverletzung unerheblich ist."</w:t>
      </w:r>
    </w:p>
    <w:p>
      <w:pPr>
        <w:jc w:val="left"/>
      </w:pPr>
      <w:r>
        <w:t>```</w:t>
      </w:r>
    </w:p>
    <w:p>
      <w:pPr>
        <w:jc w:val="left"/>
      </w:pPr>
      <w:r>
        <w:rPr>
          <w:b/>
        </w:rPr>
        <w:t>Kernfrage:</w:t>
      </w:r>
      <w:r>
        <w:t xml:space="preserve"> Ist die Farbabplatzung von 3 × 5 cm eine erhebliche oder unerhebliche Pflichtverletzung?</w:t>
      </w:r>
    </w:p>
    <w:p>
      <w:pPr>
        <w:jc w:val="left"/>
      </w:pPr>
      <w:r>
        <w:rPr>
          <w:b/>
        </w:rPr>
        <w:t>Maßstab der h. M.:</w:t>
      </w:r>
    </w:p>
    <w:p>
      <w:pPr>
        <w:jc w:val="left"/>
      </w:pPr>
      <w:r>
        <w:t>Nach der Rechtsprechung des BGH (grundlegend BGH NJW 2014, 3294, 3296 Rn. 15 ff.) ist die Erheblichkeit anhand aller Umstände des Einzelfalls zu beurteilen. Maßgeblich sind:</w:t>
      </w:r>
    </w:p>
    <w:p>
      <w:pPr>
        <w:pStyle w:val="ListBullet"/>
      </w:pPr>
      <w:r>
        <w:t>Art und Ausmaß des Mangels;</w:t>
      </w:r>
    </w:p>
    <w:p>
      <w:pPr>
        <w:pStyle w:val="ListBullet"/>
      </w:pPr>
      <w:r>
        <w:t>Beeinträchtigung der Gebrauchstauglichkeit;</w:t>
      </w:r>
    </w:p>
    <w:p>
      <w:pPr>
        <w:pStyle w:val="ListBullet"/>
      </w:pPr>
      <w:r>
        <w:t>Höhe der Mangelbeseitigungskosten im Verhältnis zum Kaufpreis;</w:t>
      </w:r>
    </w:p>
    <w:p>
      <w:pPr>
        <w:pStyle w:val="ListBullet"/>
      </w:pPr>
      <w:r>
        <w:t>Zumutbarkeit des Festhaltens am Vertrag.</w:t>
      </w:r>
    </w:p>
    <w:p>
      <w:pPr>
        <w:jc w:val="left"/>
      </w:pPr>
      <w:r>
        <w:t>Der BGH hat dabei als Faustformel entwickelt (BGH NJW 2014, 3294): Eine Mängelbeseitigungskosten-Quote von unter 5 % des Kaufpreises spricht in der Regel für Unerheblichkeit. Dies ist jedoch nur ein Indiz, keine starre Grenze.</w:t>
      </w:r>
    </w:p>
    <w:p>
      <w:pPr>
        <w:jc w:val="left"/>
      </w:pPr>
      <w:r>
        <w:rPr>
          <w:b/>
        </w:rPr>
        <w:t>Anwendung:</w:t>
      </w:r>
    </w:p>
    <w:p>
      <w:pPr>
        <w:pStyle w:val="ListBullet"/>
      </w:pPr>
      <w:r>
        <w:t>Kaufpreis: 4.800 Euro</w:t>
      </w:r>
    </w:p>
    <w:p>
      <w:pPr>
        <w:pStyle w:val="ListBullet"/>
      </w:pPr>
      <w:r>
        <w:t>5-%-Schwelle: 240 Euro</w:t>
      </w:r>
    </w:p>
    <w:p>
      <w:pPr>
        <w:pStyle w:val="ListBullet"/>
      </w:pPr>
      <w:r>
        <w:t>Farbabplatzung 3 × 5 cm: Restaurierungskosten für ein solches Gemälde dürften nach Erfahrungssätzen bei 150–500 Euro liegen (Schätzung; im Gutachten müsste dies thematisiert werden).</w:t>
      </w:r>
    </w:p>
    <w:p>
      <w:pPr>
        <w:pStyle w:val="ListBullet"/>
      </w:pPr>
      <w:r>
        <w:t>Gebrauchstauglichkeit: Gemälde als Dekorationsobjekt — optische Beeinträchtigung ist erheblich für den Verwendungszweck.</w:t>
      </w:r>
    </w:p>
    <w:p>
      <w:pPr>
        <w:jc w:val="left"/>
      </w:pPr>
      <w:r>
        <w:rPr>
          <w:b/>
        </w:rPr>
        <w:t>Streitstand Erheblichkeit:</w:t>
      </w:r>
    </w:p>
    <w:p>
      <w:pPr>
        <w:jc w:val="left"/>
      </w:pPr>
      <w:r>
        <w:rPr>
          <w:i/>
        </w:rPr>
        <w:t>Ansicht 1 (am Wortlaut orientiert):</w:t>
      </w:r>
      <w:r>
        <w:t xml:space="preserve"> Die Unerheblichkeit ist eng auszulegen. Bei Verbrauchsgüterkäufen ist der Verbraucherschutz besonders zu beachten. Eine sichtbare Farbabplatzung, die dem Käufer bei Besichtigung aufgefallen ist und sofort gerügt wurde, ist stets erheblich (so tendenziell Lorenz, NJW 2006, 1175, 1176).</w:t>
      </w:r>
    </w:p>
    <w:p>
      <w:pPr>
        <w:jc w:val="left"/>
      </w:pPr>
      <w:r>
        <w:rPr>
          <w:i/>
        </w:rPr>
        <w:t>Ansicht 2 (BGH-Linie):</w:t>
      </w:r>
      <w:r>
        <w:t xml:space="preserve"> Maßgeblich sind die Kosten im Verhältnis zum Kaufpreis. Liegen die Mangelbeseitigungskosten unter 5 % (hier 240 Euro), ist die Pflichtverletzung regelmäßig unerheblich, es sei denn, der Mangel beeinträchtigt die Substanz der Sache grundlegend.</w:t>
      </w:r>
    </w:p>
    <w:p>
      <w:pPr>
        <w:jc w:val="left"/>
      </w:pPr>
      <w:r>
        <w:rPr>
          <w:b/>
        </w:rPr>
        <w:t>Eigene Stellungnahme:</w:t>
      </w:r>
    </w:p>
    <w:p>
      <w:pPr>
        <w:jc w:val="left"/>
      </w:pPr>
      <w:r>
        <w:t>Der BGH-Ansatz ist für die vorliegende Konstellation zu eng. Das Gemälde wird ausdrücklich als Dekorationsobjekt erworben. Eine sichtbare Substanzbeeinträchtigung ist für einen Käufer, der für Optik zahlt, grundsätzlich erheblich. Selbst wenn die reinen Restaurierungskosten moderat sind, ist die Erheblichkeit aus der Perspektive des Verwendungszwecks zu bejahen. Im Ergebnis: Pflichtverletzung erheblich. → Rücktrittsrecht besteht.</w:t>
      </w:r>
    </w:p>
    <w:p>
      <w:pPr>
        <w:jc w:val="left"/>
      </w:pPr>
      <w:r>
        <w:rPr>
          <w:i/>
        </w:rPr>
        <w:t>Hinweis für die Ausarbeitung:</w:t>
      </w:r>
      <w:r>
        <w:t xml:space="preserve"> Dieser Streitstand ist im Gutachten ausführlich darzustellen und mit Quellenbelegen zu versehen. Prof. Wandersleben legt großen Wert auf die Darstellung beider Argumente.</w:t>
      </w:r>
    </w:p>
    <w:p>
      <w:pPr>
        <w:pStyle w:val="Heading3"/>
      </w:pPr>
      <w:r>
        <w:rPr>
          <w:rFonts w:ascii="Times New Roman" w:hAnsi="Times New Roman"/>
        </w:rPr>
        <w:t>Schritt 4: Rücktrittserklärung (§ 349 BGB)</w:t>
      </w:r>
    </w:p>
    <w:p>
      <w:pPr>
        <w:jc w:val="left"/>
      </w:pPr>
      <w:r>
        <w:t>B hat noch keine Rücktrittserklärung im Sachverhalt abgegeben. Im Gutachten ist das Ergebnis bedingt zu formulieren: „Sofern B die Rücktrittserklärung abgibt, ..." Oder: Gutachten fragt, ob B das Recht hat — das ist zu bejahen, auch wenn er es noch nicht ausgeübt hat.</w:t>
      </w:r>
    </w:p>
    <w:p>
      <w:pPr>
        <w:pStyle w:val="Heading3"/>
      </w:pPr>
      <w:r>
        <w:rPr>
          <w:rFonts w:ascii="Times New Roman" w:hAnsi="Times New Roman"/>
        </w:rPr>
        <w:t>Schritt 5: Ausschluss nach § 323 Abs. 6 BGB</w:t>
      </w:r>
    </w:p>
    <w:p>
      <w:pPr>
        <w:jc w:val="left"/>
      </w:pPr>
      <w:r>
        <w:t>§ 323 Abs. 6 BGB schließt den Rücktritt aus, wenn der Gläubiger den Mangel allein oder überwiegend zu vertreten hat oder wenn der Mangel während des Annahmeverzugs des Gläubigers entstanden ist. Beides ist hier nicht ersichtlich. (−)</w:t>
      </w:r>
    </w:p>
    <w:p/>
    <w:p>
      <w:pPr>
        <w:pStyle w:val="Heading2"/>
      </w:pPr>
      <w:r>
        <w:rPr>
          <w:rFonts w:ascii="Times New Roman" w:hAnsi="Times New Roman"/>
        </w:rPr>
        <w:t>II. Rechtsfolge des Rücktritts (§§ 346 ff. BGB)</w:t>
      </w:r>
    </w:p>
    <w:p>
      <w:pPr>
        <w:jc w:val="left"/>
      </w:pPr>
      <w:r>
        <w:t>Bei wirksamem Rücktritt:</w:t>
      </w:r>
    </w:p>
    <w:p>
      <w:pPr>
        <w:pStyle w:val="ListBullet"/>
      </w:pPr>
      <w:r>
        <w:t>A muss Kaufpreis zurückzahlen (§ 346 Abs. 1 BGB).</w:t>
      </w:r>
    </w:p>
    <w:p>
      <w:pPr>
        <w:pStyle w:val="ListBullet"/>
      </w:pPr>
      <w:r>
        <w:t>B muss Gemälde zurückgeben.</w:t>
      </w:r>
    </w:p>
    <w:p>
      <w:pPr>
        <w:pStyle w:val="ListBullet"/>
      </w:pPr>
      <w:r>
        <w:t>Nutzungen: § 346 Abs. 1 BGB — B muss gezogene Nutzungen herausgeben.</w:t>
      </w:r>
    </w:p>
    <w:p>
      <w:pPr>
        <w:pStyle w:val="ListBullet"/>
      </w:pPr>
      <w:r>
        <w:t>Beschädigung der zurückzugebenden Sache: § 346 Abs. 2 BGB.</w:t>
      </w:r>
    </w:p>
    <w:p/>
    <w:p>
      <w:pPr>
        <w:pStyle w:val="Heading2"/>
      </w:pPr>
      <w:r>
        <w:rPr>
          <w:rFonts w:ascii="Times New Roman" w:hAnsi="Times New Roman"/>
        </w:rPr>
        <w:t>III. Alternativ: Rücktritt nach § 326 Abs. 5 BGB</w:t>
      </w:r>
    </w:p>
    <w:p>
      <w:pPr>
        <w:jc w:val="left"/>
      </w:pPr>
      <w:r>
        <w:t>§ 326 Abs. 5 BGB ermöglicht den Rücktritt ohne Fristsetzung, wenn der Schuldner nach § 275 BGB nicht zu leisten braucht. Im vorliegenden Fall ist Nacherfüllung jedoch nicht unmöglich — deshalb § 326 Abs. 5 BGB nicht einschlägig.</w:t>
      </w:r>
    </w:p>
    <w:p/>
    <w:p>
      <w:pPr>
        <w:pStyle w:val="Heading2"/>
      </w:pPr>
      <w:r>
        <w:rPr>
          <w:rFonts w:ascii="Times New Roman" w:hAnsi="Times New Roman"/>
        </w:rPr>
        <w:t>Ergebnis</w:t>
      </w:r>
    </w:p>
    <w:p>
      <w:pPr>
        <w:jc w:val="left"/>
      </w:pPr>
      <w:r>
        <w:t>B hat das Recht zum Rücktritt vom Kaufvertrag nach §§ 437 Nr. 2, 440, 323 BGB. Der Ausschlussgrund des § 323 Abs. 5 S. 2 BGB (Unerheblichkeit) greift nach zutreffender Ansicht nicht, da die Pflichtverletzung im Kontext des vereinbarten Verwendungszwecks erheblich ist.</w:t>
      </w:r>
    </w:p>
    <w:p/>
    <w:p>
      <w:pPr>
        <w:jc w:val="left"/>
      </w:pPr>
      <w:r>
        <w:rPr>
          <w:i/>
        </w:rPr>
        <w:t>Aktenstück 08 von 22 — Rücktritt §§ 323, 326, 437 Nr. 2 BGB Prüfschema und Subsumtion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