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10 — Verbrauchsgüterkauf: §§ 474 ff. BGB — Besonderheiten und Anwendbarkeit</w:t>
      </w:r>
    </w:p>
    <w:p>
      <w:pPr>
        <w:jc w:val="left"/>
      </w:pPr>
      <w:r>
        <w:rPr>
          <w:b/>
        </w:rPr>
        <w:t>Bearbeiter:</w:t>
      </w:r>
      <w:r>
        <w:t xml:space="preserve"> Konrad Pohlmann</w:t>
      </w:r>
    </w:p>
    <w:p>
      <w:pPr>
        <w:jc w:val="left"/>
      </w:pPr>
      <w:r>
        <w:rPr>
          <w:b/>
        </w:rPr>
        <w:t>Stand:</w:t>
      </w:r>
      <w:r>
        <w:t xml:space="preserve"> 24.04.2026</w:t>
      </w:r>
    </w:p>
    <w:p/>
    <w:p>
      <w:pPr>
        <w:pStyle w:val="Heading2"/>
      </w:pPr>
      <w:r>
        <w:rPr>
          <w:rFonts w:ascii="Times New Roman" w:hAnsi="Times New Roman"/>
        </w:rPr>
        <w:t>Warum Verbrauchsgüterkauf wichtig ist</w:t>
      </w:r>
    </w:p>
    <w:p>
      <w:pPr>
        <w:jc w:val="left"/>
      </w:pPr>
      <w:r>
        <w:t>Der vorliegende Kaufvertrag zwischen A (gewerblicher Kunsthändler) und B (Privatmann) ist ein Verbrauchsgüterkauf im Sinne des § 474 Abs. 1 BGB. Dies hat erhebliche Auswirkungen auf die Mängelhaftung, insbesondere:</w:t>
      </w:r>
    </w:p>
    <w:p>
      <w:pPr>
        <w:pStyle w:val="ListNumber"/>
      </w:pPr>
      <w:r>
        <w:t>Die Beweislastumkehr des § 477 BGB (nunmehr 1-Jahres-Frist statt 6 Monate vor Reform 2022);</w:t>
      </w:r>
    </w:p>
    <w:p>
      <w:pPr>
        <w:pStyle w:val="ListNumber"/>
      </w:pPr>
      <w:r>
        <w:t>Das Verbot der Abbedingung zulasten des Verbrauchers (§ 476 BGB);</w:t>
      </w:r>
    </w:p>
    <w:p>
      <w:pPr>
        <w:pStyle w:val="ListNumber"/>
      </w:pPr>
      <w:r>
        <w:t>Das Recht auf zweite Andienung;</w:t>
      </w:r>
    </w:p>
    <w:p>
      <w:pPr>
        <w:pStyle w:val="ListNumber"/>
      </w:pPr>
      <w:r>
        <w:t>Sonderregelungen zur Nacherfüllung (§ 475 Abs. 1 BGB: mindestens 30 Tage Frist).</w:t>
      </w:r>
    </w:p>
    <w:p/>
    <w:p>
      <w:pPr>
        <w:pStyle w:val="Heading2"/>
      </w:pPr>
      <w:r>
        <w:rPr>
          <w:rFonts w:ascii="Times New Roman" w:hAnsi="Times New Roman"/>
        </w:rPr>
        <w:t>I. Voraussetzungen des Verbrauchsgüterkaufs (§ 474 Abs. 1 BGB)</w:t>
      </w:r>
    </w:p>
    <w:p>
      <w:pPr>
        <w:jc w:val="left"/>
      </w:pPr>
      <w:r>
        <w:t>```</w:t>
      </w:r>
    </w:p>
    <w:p>
      <w:pPr>
        <w:jc w:val="left"/>
      </w:pPr>
      <w:r>
        <w:t>§ 474 Abs. 1 BGB:</w:t>
      </w:r>
    </w:p>
    <w:p>
      <w:pPr>
        <w:jc w:val="left"/>
      </w:pPr>
      <w:r>
        <w:t>"Kauft ein Verbraucher von einem Unternehmer eine bewegliche Sache [...]</w:t>
      </w:r>
    </w:p>
    <w:p>
      <w:pPr>
        <w:jc w:val="left"/>
      </w:pPr>
      <w:r>
        <w:t>(Verbrauchsgüterkauf) [...]"</w:t>
      </w:r>
    </w:p>
    <w:p>
      <w:pPr>
        <w:jc w:val="left"/>
      </w:pPr>
      <w:r>
        <w:t>```</w:t>
      </w:r>
    </w:p>
    <w:p>
      <w:pPr>
        <w:pStyle w:val="Heading3"/>
      </w:pPr>
      <w:r>
        <w:rPr>
          <w:rFonts w:ascii="Times New Roman" w:hAnsi="Times New Roman"/>
        </w:rPr>
        <w:t>A = Unternehmer (§ 14 BGB)</w:t>
      </w:r>
    </w:p>
    <w:p>
      <w:pPr>
        <w:jc w:val="left"/>
      </w:pPr>
      <w:r>
        <w:t>A ist selbständiger Kunsthändler — er handelt im Rahmen seiner gewerblichen Tätigkeit. ✓</w:t>
      </w:r>
    </w:p>
    <w:p>
      <w:pPr>
        <w:jc w:val="left"/>
      </w:pPr>
      <w:r>
        <w:rPr>
          <w:b/>
        </w:rPr>
        <w:t>§ 14 Abs. 1 BGB:</w:t>
      </w:r>
      <w:r>
        <w:t xml:space="preserve"> Unternehmer ist eine natürliche oder juristische Person oder eine rechtsfähige Personengesellschaft, die bei Abschluss eines Rechtsgeschäfts in Ausübung ihrer gewerblichen oder selbständigen beruflichen Tätigkeit handelt.</w:t>
      </w:r>
    </w:p>
    <w:p>
      <w:pPr>
        <w:pStyle w:val="Heading3"/>
      </w:pPr>
      <w:r>
        <w:rPr>
          <w:rFonts w:ascii="Times New Roman" w:hAnsi="Times New Roman"/>
        </w:rPr>
        <w:t>B = Verbraucher (§ 13 BGB)</w:t>
      </w:r>
    </w:p>
    <w:p>
      <w:pPr>
        <w:jc w:val="left"/>
      </w:pPr>
      <w:r>
        <w:t>B ist ein Privatmann aus Dresden — er kauft das Gemälde für seine Privatbibliothek. Er handelt nicht im Rahmen einer gewerblichen oder selbständigen beruflichen Tätigkeit. ✓</w:t>
      </w:r>
    </w:p>
    <w:p>
      <w:pPr>
        <w:jc w:val="left"/>
      </w:pPr>
      <w:r>
        <w:rPr>
          <w:b/>
        </w:rPr>
        <w:t>§ 13 BGB:</w:t>
      </w:r>
      <w:r>
        <w:t xml:space="preserve"> Verbraucher ist jede natürliche Person, die ein Rechtsgeschäft zu einem Zwecke abschließt, der überwiegend weder ihrer gewerblichen noch ihrer selbständigen beruflichen Tätigkeit zugerechnet werden kann.</w:t>
      </w:r>
    </w:p>
    <w:p>
      <w:pPr>
        <w:pStyle w:val="Heading3"/>
      </w:pPr>
      <w:r>
        <w:rPr>
          <w:rFonts w:ascii="Times New Roman" w:hAnsi="Times New Roman"/>
        </w:rPr>
        <w:t>Bewegliche Sache</w:t>
      </w:r>
    </w:p>
    <w:p>
      <w:pPr>
        <w:jc w:val="left"/>
      </w:pPr>
      <w:r>
        <w:t>Die Vermeer-Replik ist eine körperliche Sache (§ 90 BGB) und beweglich. ✓</w:t>
      </w:r>
    </w:p>
    <w:p>
      <w:pPr>
        <w:jc w:val="left"/>
      </w:pPr>
      <w:r>
        <w:rPr>
          <w:b/>
        </w:rPr>
        <w:t>Ergebnis: Verbrauchsgüterkauf (+)</w:t>
      </w:r>
    </w:p>
    <w:p/>
    <w:p>
      <w:pPr>
        <w:pStyle w:val="Heading2"/>
      </w:pPr>
      <w:r>
        <w:rPr>
          <w:rFonts w:ascii="Times New Roman" w:hAnsi="Times New Roman"/>
        </w:rPr>
        <w:t>II. Beweislastumkehr (§ 477 BGB)</w:t>
      </w:r>
    </w:p>
    <w:p>
      <w:pPr>
        <w:pStyle w:val="Heading3"/>
      </w:pPr>
      <w:r>
        <w:rPr>
          <w:rFonts w:ascii="Times New Roman" w:hAnsi="Times New Roman"/>
        </w:rPr>
        <w:t>Normtext § 477 BGB (seit 01.01.2022)</w:t>
      </w:r>
    </w:p>
    <w:p>
      <w:pPr>
        <w:ind w:left="567"/>
      </w:pPr>
      <w:r>
        <w:rPr>
          <w:i/>
        </w:rPr>
        <w:t>„Zeigt sich innerhalb eines Jahres seit Gefahrübergang ein Sachmangel, so wird vermutet, dass die Sache bereits bei Gefahrübergang mangelhaft war, es sei denn, diese Vermutung ist mit der Art der Sache oder des Mangels unvereinbar."</w:t>
      </w:r>
    </w:p>
    <w:p>
      <w:pPr>
        <w:pStyle w:val="Heading3"/>
      </w:pPr>
      <w:r>
        <w:rPr>
          <w:rFonts w:ascii="Times New Roman" w:hAnsi="Times New Roman"/>
        </w:rPr>
        <w:t>Anwendung</w:t>
      </w:r>
    </w:p>
    <w:p>
      <w:pPr>
        <w:jc w:val="left"/>
      </w:pPr>
      <w:r>
        <w:t xml:space="preserve">Die Farbabplatzung wurde </w:t>
      </w:r>
      <w:r>
        <w:rPr>
          <w:b/>
        </w:rPr>
        <w:t>am Tag der Übergabe</w:t>
      </w:r>
      <w:r>
        <w:t xml:space="preserve"> (01.04.2026) entdeckt — also sofort bei Gefahrübergang. § 477 BGB spielt hier keine praktische Rolle, da der Mangel ohnehin zeitlich eindeutig zuzuordnen ist. Dennoch ist die Norm im Gutachten zu erwähnen.</w:t>
      </w:r>
    </w:p>
    <w:p>
      <w:pPr>
        <w:jc w:val="left"/>
      </w:pPr>
      <w:r>
        <w:rPr>
          <w:b/>
        </w:rPr>
        <w:t>Vor der Reform (bis 31.12.2021)</w:t>
      </w:r>
      <w:r>
        <w:t xml:space="preserve"> galt eine 6-Monats-Frist. Die Verlängerung auf 1 Jahr (§ 477 BGB n.F.) ist auf den vorliegenden Fall anwendbar (Vertragsschluss März 2026, also nach Inkrafttreten).</w:t>
      </w:r>
    </w:p>
    <w:p/>
    <w:p>
      <w:pPr>
        <w:pStyle w:val="Heading2"/>
      </w:pPr>
      <w:r>
        <w:rPr>
          <w:rFonts w:ascii="Times New Roman" w:hAnsi="Times New Roman"/>
        </w:rPr>
        <w:t>III. Verbot abweichender Vereinbarungen (§ 476 BGB)</w:t>
      </w:r>
    </w:p>
    <w:p>
      <w:pPr>
        <w:jc w:val="left"/>
      </w:pPr>
      <w:r>
        <w:t>§ 476 Abs. 1 S. 1 BGB: Auf die §§ 433 bis 435, 437, 439 bis 441 und 443 BGB kann nicht zum Nachteil des Verbrauchers vor Mitteilung des Mangels an den Unternehmer abgewichen werden.</w:t>
      </w:r>
    </w:p>
    <w:p>
      <w:pPr>
        <w:jc w:val="left"/>
      </w:pPr>
      <w:r>
        <w:t>Im vorliegenden Kaufvertrag findet sich kein ausdrücklicher Gewährleistungsausschluss. Hätte A eine solche Klausel versucht, wäre sie nach § 476 Abs. 1 BGB unwirksam.</w:t>
      </w:r>
    </w:p>
    <w:p>
      <w:pPr>
        <w:jc w:val="left"/>
      </w:pPr>
      <w:r>
        <w:rPr>
          <w:b/>
        </w:rPr>
        <w:t>Hinweis:</w:t>
      </w:r>
      <w:r>
        <w:t xml:space="preserve"> Bei gebrauchten Sachen (§ 476 Abs. 2 BGB) kann die Verjährungsfrist für Gewährleistungsansprüche auf ein Jahr reduziert werden — dies ist aber für die vorliegende Replik (keine „gebrauchte Sache" im Rechtssinne) nicht relevant.</w:t>
      </w:r>
    </w:p>
    <w:p/>
    <w:p>
      <w:pPr>
        <w:pStyle w:val="Heading2"/>
      </w:pPr>
      <w:r>
        <w:rPr>
          <w:rFonts w:ascii="Times New Roman" w:hAnsi="Times New Roman"/>
        </w:rPr>
        <w:t>IV. Rückgriff des Unternehmers (§§ 478, 479 BGB)</w:t>
      </w:r>
    </w:p>
    <w:p>
      <w:pPr>
        <w:jc w:val="left"/>
      </w:pPr>
      <w:r>
        <w:t>§§ 478, 479 BGB geben dem Unternehmer (A), der wegen eines Mangels beim Verbraucher haftet, einen Rückgriffsanspruch gegen seinen Vorlieferanten. Dies ist im Sachverhalt nicht thematisiert, aber der Vollständigkeit halber zu nennen: A könnte bei seinem eigenen Lieferanten (Galerie/Produzent der Replik) Rückgriff nehmen. Für die vorliegende Aufgabe ist das nicht abschließend zu prüfen.</w:t>
      </w:r>
    </w:p>
    <w:p/>
    <w:p>
      <w:pPr>
        <w:pStyle w:val="Heading2"/>
      </w:pPr>
      <w:r>
        <w:rPr>
          <w:rFonts w:ascii="Times New Roman" w:hAnsi="Times New Roman"/>
        </w:rPr>
        <w:t>V. Digitale Inhalte und digitale Dienstleistungen (§ 327 ff. BGB)</w:t>
      </w:r>
    </w:p>
    <w:p>
      <w:pPr>
        <w:jc w:val="left"/>
      </w:pPr>
      <w:r>
        <w:t>Seit 01.01.2022 gibt es in §§ 327 ff. BGB Regelungen für digitale Inhalte. Ein Gemälde (physische Sache) fällt nicht darunter. Nicht einschlägig.</w:t>
      </w:r>
    </w:p>
    <w:p/>
    <w:p>
      <w:pPr>
        <w:pStyle w:val="Heading2"/>
      </w:pPr>
      <w:r>
        <w:rPr>
          <w:rFonts w:ascii="Times New Roman" w:hAnsi="Times New Roman"/>
        </w:rPr>
        <w:t>VI. Sonderregeln Nacherfüllung beim Verbrauchsgüterkauf (§ 475 Abs. 1 BGB)</w:t>
      </w:r>
    </w:p>
    <w:p>
      <w:pPr>
        <w:jc w:val="left"/>
      </w:pPr>
      <w:r>
        <w:t>§ 475 Abs. 1 BGB verlangt, dass der Unternehmer dem Verbraucher eine Frist von mindestens 30 Tagen zur Nacherfüllung gibt. Diese Regelung gilt für den Unternehmer gegenüber dem Verbraucher, nicht umgekehrt. Sie ist im vorliegenden Fall nicht direkt einschlägig (B ist der Verbraucher, der Nacherfüllung fordert), aber im Zusammenhang mit der Fristsetzungsdiskussion zu erwähnen.</w:t>
      </w:r>
    </w:p>
    <w:p/>
    <w:p>
      <w:pPr>
        <w:pStyle w:val="Heading2"/>
      </w:pPr>
      <w:r>
        <w:rPr>
          <w:rFonts w:ascii="Times New Roman" w:hAnsi="Times New Roman"/>
        </w:rPr>
        <w:t>VII. Zusammenfassung: Auswirkungen des Verbrauchsgüterkaufs auf die Hausarbeit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Aspekt</w:t>
            </w:r>
          </w:p>
        </w:tc>
        <w:tc>
          <w:tcPr>
            <w:tcW w:type="dxa" w:w="4536"/>
          </w:tcPr>
          <w:p>
            <w:r>
              <w:rPr>
                <w:rFonts w:ascii="Times New Roman" w:hAnsi="Times New Roman"/>
                <w:b/>
                <w:sz w:val="20"/>
              </w:rPr>
              <w:t>Relevanz im vorliegenden Fall</w:t>
            </w:r>
          </w:p>
        </w:tc>
      </w:tr>
      <w:tr>
        <w:tc>
          <w:tcPr>
            <w:tcW w:type="dxa" w:w="4536"/>
          </w:tcPr>
          <w:p>
            <w:r>
              <w:rPr>
                <w:rFonts w:ascii="Times New Roman" w:hAnsi="Times New Roman"/>
                <w:sz w:val="20"/>
              </w:rPr>
              <w:t>Qualifikation als Verbrauchsgüterkauf</w:t>
            </w:r>
          </w:p>
        </w:tc>
        <w:tc>
          <w:tcPr>
            <w:tcW w:type="dxa" w:w="4536"/>
          </w:tcPr>
          <w:p>
            <w:r>
              <w:rPr>
                <w:rFonts w:ascii="Times New Roman" w:hAnsi="Times New Roman"/>
                <w:sz w:val="20"/>
              </w:rPr>
              <w:t>(+), beeinflusst alle Mängelfragen</w:t>
            </w:r>
          </w:p>
        </w:tc>
      </w:tr>
      <w:tr>
        <w:tc>
          <w:tcPr>
            <w:tcW w:type="dxa" w:w="4536"/>
          </w:tcPr>
          <w:p>
            <w:r>
              <w:rPr>
                <w:rFonts w:ascii="Times New Roman" w:hAnsi="Times New Roman"/>
                <w:sz w:val="20"/>
              </w:rPr>
              <w:t>§ 477 BGB Beweislastumkehr</w:t>
            </w:r>
          </w:p>
        </w:tc>
        <w:tc>
          <w:tcPr>
            <w:tcW w:type="dxa" w:w="4536"/>
          </w:tcPr>
          <w:p>
            <w:r>
              <w:rPr>
                <w:rFonts w:ascii="Times New Roman" w:hAnsi="Times New Roman"/>
                <w:sz w:val="20"/>
              </w:rPr>
              <w:t>(+), aber unproblematisch (Mangel sofort erkennbar)</w:t>
            </w:r>
          </w:p>
        </w:tc>
      </w:tr>
      <w:tr>
        <w:tc>
          <w:tcPr>
            <w:tcW w:type="dxa" w:w="4536"/>
          </w:tcPr>
          <w:p>
            <w:r>
              <w:rPr>
                <w:rFonts w:ascii="Times New Roman" w:hAnsi="Times New Roman"/>
                <w:sz w:val="20"/>
              </w:rPr>
              <w:t>§ 476 BGB Verbotsklausel</w:t>
            </w:r>
          </w:p>
        </w:tc>
        <w:tc>
          <w:tcPr>
            <w:tcW w:type="dxa" w:w="4536"/>
          </w:tcPr>
          <w:p>
            <w:r>
              <w:rPr>
                <w:rFonts w:ascii="Times New Roman" w:hAnsi="Times New Roman"/>
                <w:sz w:val="20"/>
              </w:rPr>
              <w:t>(-) kein Ausschluss im Vertrag</w:t>
            </w:r>
          </w:p>
        </w:tc>
      </w:tr>
      <w:tr>
        <w:tc>
          <w:tcPr>
            <w:tcW w:type="dxa" w:w="4536"/>
          </w:tcPr>
          <w:p>
            <w:r>
              <w:rPr>
                <w:rFonts w:ascii="Times New Roman" w:hAnsi="Times New Roman"/>
                <w:sz w:val="20"/>
              </w:rPr>
              <w:t>Zweite Andienung</w:t>
            </w:r>
          </w:p>
        </w:tc>
        <w:tc>
          <w:tcPr>
            <w:tcW w:type="dxa" w:w="4536"/>
          </w:tcPr>
          <w:p>
            <w:r>
              <w:rPr>
                <w:rFonts w:ascii="Times New Roman" w:hAnsi="Times New Roman"/>
                <w:sz w:val="20"/>
              </w:rPr>
              <w:t>Obsolet wegen Verweigerung durch A</w:t>
            </w:r>
          </w:p>
        </w:tc>
      </w:tr>
      <w:tr>
        <w:tc>
          <w:tcPr>
            <w:tcW w:type="dxa" w:w="4536"/>
          </w:tcPr>
          <w:p>
            <w:r>
              <w:rPr>
                <w:rFonts w:ascii="Times New Roman" w:hAnsi="Times New Roman"/>
                <w:sz w:val="20"/>
              </w:rPr>
              <w:t>§§ 478, 479 BGB Rückgriff</w:t>
            </w:r>
          </w:p>
        </w:tc>
        <w:tc>
          <w:tcPr>
            <w:tcW w:type="dxa" w:w="4536"/>
          </w:tcPr>
          <w:p>
            <w:r>
              <w:rPr>
                <w:rFonts w:ascii="Times New Roman" w:hAnsi="Times New Roman"/>
                <w:sz w:val="20"/>
              </w:rPr>
              <w:t>Nicht Gegenstand der Aufgabe</w:t>
            </w:r>
          </w:p>
        </w:tc>
      </w:tr>
    </w:tbl>
    <w:p/>
    <w:p>
      <w:pPr>
        <w:pStyle w:val="Heading2"/>
      </w:pPr>
      <w:r>
        <w:rPr>
          <w:rFonts w:ascii="Times New Roman" w:hAnsi="Times New Roman"/>
        </w:rPr>
        <w:t>Literatur-Vormerkliste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Quelle</w:t>
            </w:r>
          </w:p>
        </w:tc>
        <w:tc>
          <w:tcPr>
            <w:tcW w:type="dxa" w:w="3024"/>
          </w:tcPr>
          <w:p>
            <w:r>
              <w:rPr>
                <w:rFonts w:ascii="Times New Roman" w:hAnsi="Times New Roman"/>
                <w:b/>
                <w:sz w:val="20"/>
              </w:rPr>
              <w:t>Fundstelle</w:t>
            </w:r>
          </w:p>
        </w:tc>
        <w:tc>
          <w:tcPr>
            <w:tcW w:type="dxa" w:w="3024"/>
          </w:tcPr>
          <w:p>
            <w:r>
              <w:rPr>
                <w:rFonts w:ascii="Times New Roman" w:hAnsi="Times New Roman"/>
                <w:b/>
                <w:sz w:val="20"/>
              </w:rPr>
              <w:t>Relevanz</w:t>
            </w:r>
          </w:p>
        </w:tc>
      </w:tr>
      <w:tr>
        <w:tc>
          <w:tcPr>
            <w:tcW w:type="dxa" w:w="3024"/>
          </w:tcPr>
          <w:p>
            <w:r>
              <w:rPr>
                <w:rFonts w:ascii="Times New Roman" w:hAnsi="Times New Roman"/>
                <w:sz w:val="20"/>
              </w:rPr>
              <w:t>Palandt/Weidenkaff</w:t>
            </w:r>
          </w:p>
        </w:tc>
        <w:tc>
          <w:tcPr>
            <w:tcW w:type="dxa" w:w="3024"/>
          </w:tcPr>
          <w:p>
            <w:r>
              <w:rPr>
                <w:rFonts w:ascii="Times New Roman" w:hAnsi="Times New Roman"/>
                <w:sz w:val="20"/>
              </w:rPr>
              <w:t>§ 474 BGB, Rn. 1 ff.</w:t>
            </w:r>
          </w:p>
        </w:tc>
        <w:tc>
          <w:tcPr>
            <w:tcW w:type="dxa" w:w="3024"/>
          </w:tcPr>
          <w:p>
            <w:r>
              <w:rPr>
                <w:rFonts w:ascii="Times New Roman" w:hAnsi="Times New Roman"/>
                <w:sz w:val="20"/>
              </w:rPr>
              <w:t>Verbrauchsgüterkauf-Begriff</w:t>
            </w:r>
          </w:p>
        </w:tc>
      </w:tr>
      <w:tr>
        <w:tc>
          <w:tcPr>
            <w:tcW w:type="dxa" w:w="3024"/>
          </w:tcPr>
          <w:p>
            <w:r>
              <w:rPr>
                <w:rFonts w:ascii="Times New Roman" w:hAnsi="Times New Roman"/>
                <w:sz w:val="20"/>
              </w:rPr>
              <w:t>MüKo/Lorenz</w:t>
            </w:r>
          </w:p>
        </w:tc>
        <w:tc>
          <w:tcPr>
            <w:tcW w:type="dxa" w:w="3024"/>
          </w:tcPr>
          <w:p>
            <w:r>
              <w:rPr>
                <w:rFonts w:ascii="Times New Roman" w:hAnsi="Times New Roman"/>
                <w:sz w:val="20"/>
              </w:rPr>
              <w:t>§ 477 BGB, Rn. 1 ff.</w:t>
            </w:r>
          </w:p>
        </w:tc>
        <w:tc>
          <w:tcPr>
            <w:tcW w:type="dxa" w:w="3024"/>
          </w:tcPr>
          <w:p>
            <w:r>
              <w:rPr>
                <w:rFonts w:ascii="Times New Roman" w:hAnsi="Times New Roman"/>
                <w:sz w:val="20"/>
              </w:rPr>
              <w:t>Beweislastumkehr, 1-Jahres-Frist</w:t>
            </w:r>
          </w:p>
        </w:tc>
      </w:tr>
      <w:tr>
        <w:tc>
          <w:tcPr>
            <w:tcW w:type="dxa" w:w="3024"/>
          </w:tcPr>
          <w:p>
            <w:r>
              <w:rPr>
                <w:rFonts w:ascii="Times New Roman" w:hAnsi="Times New Roman"/>
                <w:sz w:val="20"/>
              </w:rPr>
              <w:t>BGH NJW 2019, 2380</w:t>
            </w:r>
          </w:p>
        </w:tc>
        <w:tc>
          <w:tcPr>
            <w:tcW w:type="dxa" w:w="3024"/>
          </w:tcPr>
          <w:p>
            <w:r>
              <w:rPr>
                <w:rFonts w:ascii="Times New Roman" w:hAnsi="Times New Roman"/>
                <w:sz w:val="20"/>
              </w:rPr>
              <w:t>—</w:t>
            </w:r>
          </w:p>
        </w:tc>
        <w:tc>
          <w:tcPr>
            <w:tcW w:type="dxa" w:w="3024"/>
          </w:tcPr>
          <w:p>
            <w:r>
              <w:rPr>
                <w:rFonts w:ascii="Times New Roman" w:hAnsi="Times New Roman"/>
                <w:sz w:val="20"/>
              </w:rPr>
              <w:t>Verbrauchereigenschaft</w:t>
            </w:r>
          </w:p>
        </w:tc>
      </w:tr>
      <w:tr>
        <w:tc>
          <w:tcPr>
            <w:tcW w:type="dxa" w:w="3024"/>
          </w:tcPr>
          <w:p>
            <w:r>
              <w:rPr>
                <w:rFonts w:ascii="Times New Roman" w:hAnsi="Times New Roman"/>
                <w:sz w:val="20"/>
              </w:rPr>
              <w:t>Lorenz, NJW 2022, 2497</w:t>
            </w:r>
          </w:p>
        </w:tc>
        <w:tc>
          <w:tcPr>
            <w:tcW w:type="dxa" w:w="3024"/>
          </w:tcPr>
          <w:p>
            <w:r>
              <w:rPr>
                <w:rFonts w:ascii="Times New Roman" w:hAnsi="Times New Roman"/>
                <w:sz w:val="20"/>
              </w:rPr>
              <w:t>—</w:t>
            </w:r>
          </w:p>
        </w:tc>
        <w:tc>
          <w:tcPr>
            <w:tcW w:type="dxa" w:w="3024"/>
          </w:tcPr>
          <w:p>
            <w:r>
              <w:rPr>
                <w:rFonts w:ascii="Times New Roman" w:hAnsi="Times New Roman"/>
                <w:sz w:val="20"/>
              </w:rPr>
              <w:t>Kaufrechtsreform 2022</w:t>
            </w:r>
          </w:p>
        </w:tc>
      </w:tr>
      <w:tr>
        <w:tc>
          <w:tcPr>
            <w:tcW w:type="dxa" w:w="3024"/>
          </w:tcPr>
          <w:p>
            <w:r>
              <w:rPr>
                <w:rFonts w:ascii="Times New Roman" w:hAnsi="Times New Roman"/>
                <w:sz w:val="20"/>
              </w:rPr>
              <w:t>Faust, JuS 2022, 481</w:t>
            </w:r>
          </w:p>
        </w:tc>
        <w:tc>
          <w:tcPr>
            <w:tcW w:type="dxa" w:w="3024"/>
          </w:tcPr>
          <w:p>
            <w:r>
              <w:rPr>
                <w:rFonts w:ascii="Times New Roman" w:hAnsi="Times New Roman"/>
                <w:sz w:val="20"/>
              </w:rPr>
              <w:t>—</w:t>
            </w:r>
          </w:p>
        </w:tc>
        <w:tc>
          <w:tcPr>
            <w:tcW w:type="dxa" w:w="3024"/>
          </w:tcPr>
          <w:p>
            <w:r>
              <w:rPr>
                <w:rFonts w:ascii="Times New Roman" w:hAnsi="Times New Roman"/>
                <w:sz w:val="20"/>
              </w:rPr>
              <w:t>Überblick Verbrauchsgüterkauf n.F.</w:t>
            </w:r>
          </w:p>
        </w:tc>
      </w:tr>
      <w:tr>
        <w:tc>
          <w:tcPr>
            <w:tcW w:type="dxa" w:w="3024"/>
          </w:tcPr>
          <w:p>
            <w:r>
              <w:rPr>
                <w:rFonts w:ascii="Times New Roman" w:hAnsi="Times New Roman"/>
                <w:sz w:val="20"/>
              </w:rPr>
              <w:t>Grundmann, AcP 202 (2002), 40</w:t>
            </w:r>
          </w:p>
        </w:tc>
        <w:tc>
          <w:tcPr>
            <w:tcW w:type="dxa" w:w="3024"/>
          </w:tcPr>
          <w:p>
            <w:r>
              <w:rPr>
                <w:rFonts w:ascii="Times New Roman" w:hAnsi="Times New Roman"/>
                <w:sz w:val="20"/>
              </w:rPr>
              <w:t>—</w:t>
            </w:r>
          </w:p>
        </w:tc>
        <w:tc>
          <w:tcPr>
            <w:tcW w:type="dxa" w:w="3024"/>
          </w:tcPr>
          <w:p>
            <w:r>
              <w:rPr>
                <w:rFonts w:ascii="Times New Roman" w:hAnsi="Times New Roman"/>
                <w:sz w:val="20"/>
              </w:rPr>
              <w:t>Garantiehaftung vs. Verschuldenshaftung</w:t>
            </w:r>
          </w:p>
        </w:tc>
      </w:tr>
    </w:tbl>
    <w:p/>
    <w:p>
      <w:pPr>
        <w:jc w:val="left"/>
      </w:pPr>
      <w:r>
        <w:rPr>
          <w:i/>
        </w:rPr>
        <w:t>Aktenstück 10 von 22 — Verbrauchsgüterkauf §§ 474 ff. BGB Besonderheiten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