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12 — Streitstandsdarstellung: § 389 BGB — Rückwirkung und Pluralität der Aufrechnungslagen</w:t>
      </w:r>
    </w:p>
    <w:p>
      <w:pPr>
        <w:jc w:val="left"/>
      </w:pPr>
      <w:r>
        <w:rPr>
          <w:b/>
        </w:rPr>
        <w:t>Bearbeiter:</w:t>
      </w:r>
      <w:r>
        <w:t xml:space="preserve"> Konrad Pohlmann</w:t>
      </w:r>
    </w:p>
    <w:p>
      <w:pPr>
        <w:jc w:val="left"/>
      </w:pPr>
      <w:r>
        <w:rPr>
          <w:b/>
        </w:rPr>
        <w:t>Stand:</w:t>
      </w:r>
      <w:r>
        <w:t xml:space="preserve"> 26.04.2026</w:t>
      </w:r>
    </w:p>
    <w:p/>
    <w:p>
      <w:pPr>
        <w:pStyle w:val="Heading2"/>
      </w:pPr>
      <w:r>
        <w:rPr>
          <w:rFonts w:ascii="Times New Roman" w:hAnsi="Times New Roman"/>
        </w:rPr>
        <w:t>Einführung</w:t>
      </w:r>
    </w:p>
    <w:p>
      <w:pPr>
        <w:jc w:val="left"/>
      </w:pPr>
      <w:r>
        <w:t>§ 389 BGB ist einer der prüfungsrelevantesten Streitstände im Schuldrecht AT. Er fragt nach dem Zeitpunkt, auf den die Wirkungen der Aufrechnung zurückbezogen werden. Dieser Streitstand ist in der Hausarbeit ausführlich darzustellen.</w:t>
      </w:r>
    </w:p>
    <w:p/>
    <w:p>
      <w:pPr>
        <w:pStyle w:val="Heading2"/>
      </w:pPr>
      <w:r>
        <w:rPr>
          <w:rFonts w:ascii="Times New Roman" w:hAnsi="Times New Roman"/>
        </w:rPr>
        <w:t>I. Der Streit um die Rückwirkung des § 389 BGB</w:t>
      </w:r>
    </w:p>
    <w:p>
      <w:pPr>
        <w:pStyle w:val="Heading3"/>
      </w:pPr>
      <w:r>
        <w:rPr>
          <w:rFonts w:ascii="Times New Roman" w:hAnsi="Times New Roman"/>
        </w:rPr>
        <w:t>Normtext</w:t>
      </w:r>
    </w:p>
    <w:p>
      <w:pPr>
        <w:ind w:left="567"/>
      </w:pPr>
      <w:r>
        <w:rPr>
          <w:i/>
        </w:rPr>
        <w:t>§ 389 BGB: „Die Aufrechnung bewirkt, dass die Forderungen, soweit sie sich decken, als in dem Zeitpunkt erloschen gelten, in welchem sie zur Aufrechnung geeignet gegenübergestanden haben."</w:t>
      </w:r>
    </w:p>
    <w:p>
      <w:pPr>
        <w:pStyle w:val="Heading3"/>
      </w:pPr>
      <w:r>
        <w:rPr>
          <w:rFonts w:ascii="Times New Roman" w:hAnsi="Times New Roman"/>
        </w:rPr>
        <w:t>1. Herrschende Meinung: Vollständige Rückwirkung (Fiktionstheorie)</w:t>
      </w:r>
    </w:p>
    <w:p>
      <w:pPr>
        <w:jc w:val="left"/>
      </w:pPr>
      <w:r>
        <w:rPr>
          <w:b/>
        </w:rPr>
        <w:t>Vertreter:</w:t>
      </w:r>
      <w:r>
        <w:t xml:space="preserve"> BGH NJW 1976, 1258; BGH NJW 2014, 2780 (obiter); Palandt/Grüneberg, § 389 Rn. 3; MüKo/Schlüter, § 389 Rn. 5; BeckOK/Dennhardt, § 389 Rn. 2.</w:t>
      </w:r>
    </w:p>
    <w:p>
      <w:pPr>
        <w:jc w:val="left"/>
      </w:pPr>
      <w:r>
        <w:rPr>
          <w:b/>
        </w:rPr>
        <w:t>Inhalt:</w:t>
      </w:r>
      <w:r>
        <w:t xml:space="preserve"> Die Aufrechnung wirkt vollständig rückwirkend. Beide Forderungen gelten als mit Entstehung der Aufrechnungslage erloschen. Dies ist eine gesetzliche Fiktion (daher: Fiktionstheorie). Sie gilt auch für Nebenforderungen wie Zinsen: Bereits abgelaufene Zinsen werden rückwirkend nicht geschuldet.</w:t>
      </w:r>
    </w:p>
    <w:p>
      <w:pPr>
        <w:jc w:val="left"/>
      </w:pPr>
      <w:r>
        <w:rPr>
          <w:b/>
        </w:rPr>
        <w:t>Argument:</w:t>
      </w:r>
      <w:r>
        <w:t xml:space="preserve"> Der Wortlaut des § 389 BGB ist eindeutig. Die Vorschrift schafft Klarheit über den maßgeblichen Zeitpunkt und verhindert komplizierte Zinsnachberechnungen. Die Rückwirkung schützt den Schuldner (Aufrechnenden), was dem Zweck der Aufrechnung entspricht.</w:t>
      </w:r>
    </w:p>
    <w:p>
      <w:pPr>
        <w:jc w:val="left"/>
      </w:pPr>
      <w:r>
        <w:rPr>
          <w:b/>
        </w:rPr>
        <w:t>Anwendung im vorliegenden Fall:</w:t>
      </w:r>
      <w:r>
        <w:t xml:space="preserve"> Kaufpreisforderung (4.800 Euro) und Darlehensgegenforderung (2.200 Euro) erlöschen rückwirkend auf den Zeitpunkt der Aufrechnungslage. Dieser liegt spätestens am 01.04.2026 (Fälligkeit Kaufpreis). Konsequenz: Für die aufgerechneten 2.200 Euro schuldet B keine Verzugszinsen ab 01.04.2026.</w:t>
      </w:r>
    </w:p>
    <w:p/>
    <w:p>
      <w:pPr>
        <w:pStyle w:val="Heading3"/>
      </w:pPr>
      <w:r>
        <w:rPr>
          <w:rFonts w:ascii="Times New Roman" w:hAnsi="Times New Roman"/>
        </w:rPr>
        <w:t>2. Teleologische Reduktion bei Drittinteressen (Mindermeinung)</w:t>
      </w:r>
    </w:p>
    <w:p>
      <w:pPr>
        <w:jc w:val="left"/>
      </w:pPr>
      <w:r>
        <w:rPr>
          <w:b/>
        </w:rPr>
        <w:t>Vertreter:</w:t>
      </w:r>
      <w:r>
        <w:t xml:space="preserve"> Staudinger/Gursky, § 389 Rn. 15 ff.; Gernhuber, Die Erfüllung und ihre Surrogate, S. 210 ff.; Larenz, Schuldrecht I, § 18 III.</w:t>
      </w:r>
    </w:p>
    <w:p>
      <w:pPr>
        <w:jc w:val="left"/>
      </w:pPr>
      <w:r>
        <w:rPr>
          <w:b/>
        </w:rPr>
        <w:t>Inhalt:</w:t>
      </w:r>
      <w:r>
        <w:t xml:space="preserve"> Die vollständige Rückwirkung des § 389 BGB ist teleologisch zu reduzieren, wenn durch sie Rechte Dritter beeinträchtigt werden oder wenn die Rückwirkung im Widerspruch zu anderen Normen steht (z. B. §§ 407, 408 BGB bei Abtretung).</w:t>
      </w:r>
    </w:p>
    <w:p>
      <w:pPr>
        <w:jc w:val="left"/>
      </w:pPr>
      <w:r>
        <w:rPr>
          <w:b/>
        </w:rPr>
        <w:t>Argument:</w:t>
      </w:r>
      <w:r>
        <w:t xml:space="preserve"> Wenn ein Dritter (hier: C) vor der Aufrechnungserklärung Rechte an der Forderung erworben hat (durch Abtretung), kann die rückwirkende Tilgung der Forderung nicht zum Nachteil des Dritten wirken, der sich auf den Bestand der Forderung verlassen hat. Insbesondere beim Verbrauchsgüterkauf sei die Rückwirkung mit den Schutzzwecken der §§ 474 ff. BGB nicht immer vereinbar.</w:t>
      </w:r>
    </w:p>
    <w:p>
      <w:pPr>
        <w:jc w:val="left"/>
      </w:pPr>
      <w:r>
        <w:rPr>
          <w:b/>
        </w:rPr>
        <w:t>Kritik:</w:t>
      </w:r>
      <w:r>
        <w:t xml:space="preserve"> Die Mindermeinung untergräbt die gesetzliche Klarheit des § 389 BGB. Für den Drittschutz gibt es die Sonderregelung des § 406 BGB (Aufrechnung gegenüber neuem Gläubiger nur eingeschränkt möglich), die abschließend ist. § 389 BGB selbst bedarf keiner Einschränkung.</w:t>
      </w:r>
    </w:p>
    <w:p/>
    <w:p>
      <w:pPr>
        <w:pStyle w:val="Heading3"/>
      </w:pPr>
      <w:r>
        <w:rPr>
          <w:rFonts w:ascii="Times New Roman" w:hAnsi="Times New Roman"/>
        </w:rPr>
        <w:t>3. Stellungnahme (Pohlmann)</w:t>
      </w:r>
    </w:p>
    <w:p>
      <w:pPr>
        <w:jc w:val="left"/>
      </w:pPr>
      <w:r>
        <w:t>Der h. M. ist zu folgen. § 389 BGB ist klar formuliert und verfolgt den Zweck der Abrechnungsvereinfachung. Die Interessen des Dritten werden durch § 406 BGB hinreichend geschützt: War die Gegenforderung des Aufrechnenden vor der Abtretungsanzeige entstanden und fällig, kann er gegenüber dem neuen Gläubiger aufrechnen (§ 406 S. 1 BGB). Wenn dagegen — wie im vorliegenden Fall — die Aufrechnung schon vor der Abtretung erklärt wurde, ist die Forderung bereits kraft § 389 BGB erloschen, und der Zessionar erhält eine schon erloschene Forderung. § 404 BGB stellt dies klar.</w:t>
      </w:r>
    </w:p>
    <w:p/>
    <w:p>
      <w:pPr>
        <w:pStyle w:val="Heading2"/>
      </w:pPr>
      <w:r>
        <w:rPr>
          <w:rFonts w:ascii="Times New Roman" w:hAnsi="Times New Roman"/>
        </w:rPr>
        <w:t>II. Sonderproblem: Mehrere gleichzeitige Aufrechnungslagen</w:t>
      </w:r>
    </w:p>
    <w:p>
      <w:pPr>
        <w:pStyle w:val="Heading3"/>
      </w:pPr>
      <w:r>
        <w:rPr>
          <w:rFonts w:ascii="Times New Roman" w:hAnsi="Times New Roman"/>
        </w:rPr>
        <w:t>Sachverhaltsrelevanz</w:t>
      </w:r>
    </w:p>
    <w:p>
      <w:pPr>
        <w:jc w:val="left"/>
      </w:pPr>
      <w:r>
        <w:t>Im vorliegenden Fall gibt es nur eine Gegenforderung (Darlehen 2.200 Euro). Theoretisch könnte B aber auch weitere Gegenforderungen haben. Das folgende Sonderproblem ist für die Hausarbeit zwar nicht unmittelbar einschlägig, aber wegen der Wandersleben'schen Vorliebe für dogmatische Tiefe gut zu kennen:</w:t>
      </w:r>
    </w:p>
    <w:p>
      <w:pPr>
        <w:pStyle w:val="Heading3"/>
      </w:pPr>
      <w:r>
        <w:rPr>
          <w:rFonts w:ascii="Times New Roman" w:hAnsi="Times New Roman"/>
        </w:rPr>
        <w:t>Mehrere Gegenforderungen — Tilgungsreihenfolge</w:t>
      </w:r>
    </w:p>
    <w:p>
      <w:pPr>
        <w:jc w:val="left"/>
      </w:pPr>
      <w:r>
        <w:t>Hat der Schuldner mehrere Gegenforderungen, kann er nach § 396 Abs. 1 BGB bestimmen, welche zuerst aufgerechnet wird. Macht er keine Bestimmung, gilt § 366 Abs. 2 BGB entsprechend (Tilgung der für den Schuldner lästigsten Forderung zuerst).</w:t>
      </w:r>
    </w:p>
    <w:p>
      <w:pPr>
        <w:pStyle w:val="Heading3"/>
      </w:pPr>
      <w:r>
        <w:rPr>
          <w:rFonts w:ascii="Times New Roman" w:hAnsi="Times New Roman"/>
        </w:rPr>
        <w:t>Streit: Muss der Schuldner die günstigste Aufrechnungslage ausnutzen?</w:t>
      </w:r>
    </w:p>
    <w:p>
      <w:pPr>
        <w:jc w:val="left"/>
      </w:pPr>
      <w:r>
        <w:rPr>
          <w:b/>
        </w:rPr>
        <w:t>h. M.:</w:t>
      </w:r>
      <w:r>
        <w:t xml:space="preserve"> Nein. Der Schuldner ist frei, welche Gegenforderung er zur Aufrechnung stellt (BGH NJW 1990, 2757). Das Gericht prüft nur, ob eine wirksame Aufrechnung erklärt wurde.</w:t>
      </w:r>
    </w:p>
    <w:p>
      <w:pPr>
        <w:jc w:val="left"/>
      </w:pPr>
      <w:r>
        <w:rPr>
          <w:b/>
        </w:rPr>
        <w:t>Mindermeinung (Gernhuber):</w:t>
      </w:r>
      <w:r>
        <w:t xml:space="preserve"> Bei konkurrierenden Aufrechnungslagen ist die für den Gläubiger günstigste Variante vorrangig.</w:t>
      </w:r>
    </w:p>
    <w:p/>
    <w:p>
      <w:pPr>
        <w:pStyle w:val="Heading2"/>
      </w:pPr>
      <w:r>
        <w:rPr>
          <w:rFonts w:ascii="Times New Roman" w:hAnsi="Times New Roman"/>
        </w:rPr>
        <w:t>III. Weitere Streitfragen zu § 389 BGB</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Streitfrage</w:t>
            </w:r>
          </w:p>
        </w:tc>
        <w:tc>
          <w:tcPr>
            <w:tcW w:type="dxa" w:w="3024"/>
          </w:tcPr>
          <w:p>
            <w:r>
              <w:rPr>
                <w:rFonts w:ascii="Times New Roman" w:hAnsi="Times New Roman"/>
                <w:b/>
                <w:sz w:val="20"/>
              </w:rPr>
              <w:t>h. M.</w:t>
            </w:r>
          </w:p>
        </w:tc>
        <w:tc>
          <w:tcPr>
            <w:tcW w:type="dxa" w:w="3024"/>
          </w:tcPr>
          <w:p>
            <w:r>
              <w:rPr>
                <w:rFonts w:ascii="Times New Roman" w:hAnsi="Times New Roman"/>
                <w:b/>
                <w:sz w:val="20"/>
              </w:rPr>
              <w:t>Mindermeinung</w:t>
            </w:r>
          </w:p>
        </w:tc>
      </w:tr>
      <w:tr>
        <w:tc>
          <w:tcPr>
            <w:tcW w:type="dxa" w:w="3024"/>
          </w:tcPr>
          <w:p>
            <w:r>
              <w:rPr>
                <w:rFonts w:ascii="Times New Roman" w:hAnsi="Times New Roman"/>
                <w:sz w:val="20"/>
              </w:rPr>
              <w:t>Rückwirkung auf bereits titulierte Forderungen</w:t>
            </w:r>
          </w:p>
        </w:tc>
        <w:tc>
          <w:tcPr>
            <w:tcW w:type="dxa" w:w="3024"/>
          </w:tcPr>
          <w:p>
            <w:r>
              <w:rPr>
                <w:rFonts w:ascii="Times New Roman" w:hAnsi="Times New Roman"/>
                <w:sz w:val="20"/>
              </w:rPr>
              <w:t>Wirkt auch gegen rechtskräftige Urteile (§ 767 ZPO-Klage nötig)</w:t>
            </w:r>
          </w:p>
        </w:tc>
        <w:tc>
          <w:tcPr>
            <w:tcW w:type="dxa" w:w="3024"/>
          </w:tcPr>
          <w:p>
            <w:r>
              <w:rPr>
                <w:rFonts w:ascii="Times New Roman" w:hAnsi="Times New Roman"/>
                <w:sz w:val="20"/>
              </w:rPr>
              <w:t>Keine Rückwirkung bei Rechtskraft</w:t>
            </w:r>
          </w:p>
        </w:tc>
      </w:tr>
      <w:tr>
        <w:tc>
          <w:tcPr>
            <w:tcW w:type="dxa" w:w="3024"/>
          </w:tcPr>
          <w:p>
            <w:r>
              <w:rPr>
                <w:rFonts w:ascii="Times New Roman" w:hAnsi="Times New Roman"/>
                <w:sz w:val="20"/>
              </w:rPr>
              <w:t>Rückwirkung und Verjährung</w:t>
            </w:r>
          </w:p>
        </w:tc>
        <w:tc>
          <w:tcPr>
            <w:tcW w:type="dxa" w:w="3024"/>
          </w:tcPr>
          <w:p>
            <w:r>
              <w:rPr>
                <w:rFonts w:ascii="Times New Roman" w:hAnsi="Times New Roman"/>
                <w:sz w:val="20"/>
              </w:rPr>
              <w:t>Aufrechnung kann auch gegen verjährte Forderung erklärt werden, wenn zur Zeit der Aufrechnungslage noch nicht verjährt (§ 215 BGB)</w:t>
            </w:r>
          </w:p>
        </w:tc>
        <w:tc>
          <w:tcPr>
            <w:tcW w:type="dxa" w:w="3024"/>
          </w:tcPr>
          <w:p>
            <w:r>
              <w:rPr>
                <w:rFonts w:ascii="Times New Roman" w:hAnsi="Times New Roman"/>
                <w:sz w:val="20"/>
              </w:rPr>
              <w:t>—</w:t>
            </w:r>
          </w:p>
        </w:tc>
      </w:tr>
      <w:tr>
        <w:tc>
          <w:tcPr>
            <w:tcW w:type="dxa" w:w="3024"/>
          </w:tcPr>
          <w:p>
            <w:r>
              <w:rPr>
                <w:rFonts w:ascii="Times New Roman" w:hAnsi="Times New Roman"/>
                <w:sz w:val="20"/>
              </w:rPr>
              <w:t>Zinsen und Nebenforderungen</w:t>
            </w:r>
          </w:p>
        </w:tc>
        <w:tc>
          <w:tcPr>
            <w:tcW w:type="dxa" w:w="3024"/>
          </w:tcPr>
          <w:p>
            <w:r>
              <w:rPr>
                <w:rFonts w:ascii="Times New Roman" w:hAnsi="Times New Roman"/>
                <w:sz w:val="20"/>
              </w:rPr>
              <w:t>Erlöschen ex tunc, also auch rückwirkend keine Zinsen</w:t>
            </w:r>
          </w:p>
        </w:tc>
        <w:tc>
          <w:tcPr>
            <w:tcW w:type="dxa" w:w="3024"/>
          </w:tcPr>
          <w:p>
            <w:r>
              <w:rPr>
                <w:rFonts w:ascii="Times New Roman" w:hAnsi="Times New Roman"/>
                <w:sz w:val="20"/>
              </w:rPr>
              <w:t>Zinsen für abgelaufene Zeiträume bleiben</w:t>
            </w:r>
          </w:p>
        </w:tc>
      </w:tr>
    </w:tbl>
    <w:p>
      <w:pPr>
        <w:jc w:val="left"/>
      </w:pPr>
      <w:r>
        <w:rPr>
          <w:b/>
        </w:rPr>
        <w:t>§ 215 BGB</w:t>
      </w:r>
      <w:r>
        <w:t xml:space="preserve"> ist ein wichtiges Hilfsinstrument: Selbst wenn die Gegenforderung inzwischen verjährt ist, kann aufgerechnet werden, wenn zur Zeit der Aufrechnungslage noch keine Verjährung bestand. Im vorliegenden Fall spielt das keine Rolle (Darlehensforderung unstreitig fällig und nicht verjährt erwähnt).</w:t>
      </w:r>
    </w:p>
    <w:p/>
    <w:p>
      <w:pPr>
        <w:pStyle w:val="Heading2"/>
      </w:pPr>
      <w:r>
        <w:rPr>
          <w:rFonts w:ascii="Times New Roman" w:hAnsi="Times New Roman"/>
        </w:rPr>
        <w:t>Ergebnis</w:t>
      </w:r>
    </w:p>
    <w:p>
      <w:pPr>
        <w:jc w:val="left"/>
      </w:pPr>
      <w:r>
        <w:t>Die Aufrechnung des B wirkt nach § 389 BGB rückwirkend auf den 01.04.2026 (Zeitpunkt der Aufrechnungslage). Dies ist das richtige Ergebnis nach h. M. und zu begründen. Der Streitstand zur teleologischen Reduktion ist darzustellen und mit eigener Stellungnahme zu beenden.</w:t>
      </w:r>
    </w:p>
    <w:p/>
    <w:p>
      <w:pPr>
        <w:jc w:val="left"/>
      </w:pPr>
      <w:r>
        <w:rPr>
          <w:i/>
        </w:rPr>
        <w:t>Aktenstück 12 von 22 — Streitstandsdarstellung § 389 BGB Rückwirkung und Pluralität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