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15 — Gefahrübergang: §§ 446, 447 BGB</w:t>
      </w:r>
    </w:p>
    <w:p>
      <w:pPr>
        <w:jc w:val="left"/>
      </w:pPr>
      <w:r>
        <w:rPr>
          <w:b/>
        </w:rPr>
        <w:t>Bearbeiter:</w:t>
      </w:r>
      <w:r>
        <w:t xml:space="preserve"> Konrad Pohlmann</w:t>
      </w:r>
    </w:p>
    <w:p>
      <w:pPr>
        <w:jc w:val="left"/>
      </w:pPr>
      <w:r>
        <w:rPr>
          <w:b/>
        </w:rPr>
        <w:t>Stand:</w:t>
      </w:r>
      <w:r>
        <w:t xml:space="preserve"> 29.04.2026</w:t>
      </w:r>
    </w:p>
    <w:p/>
    <w:p>
      <w:pPr>
        <w:pStyle w:val="Heading2"/>
      </w:pPr>
      <w:r>
        <w:rPr>
          <w:rFonts w:ascii="Times New Roman" w:hAnsi="Times New Roman"/>
        </w:rPr>
        <w:t>I. Bedeutung des Gefahrübergangs im Kaufrecht</w:t>
      </w:r>
    </w:p>
    <w:p>
      <w:pPr>
        <w:jc w:val="left"/>
      </w:pPr>
      <w:r>
        <w:t>Der Zeitpunkt des Gefahrübergangs ist im Kaufrecht aus zwei Gründen zentral:</w:t>
      </w:r>
    </w:p>
    <w:p>
      <w:pPr>
        <w:pStyle w:val="ListNumber"/>
      </w:pPr>
      <w:r>
        <w:rPr>
          <w:b/>
        </w:rPr>
        <w:t>Preisgefahr:</w:t>
      </w:r>
      <w:r>
        <w:t xml:space="preserve"> Ab Gefahrübergang muss der Käufer den Kaufpreis zahlen, auch wenn die Sache zufällig untergeht oder sich verschlechtert (§ 446 S. 2, § 447 Abs. 1 BGB: „casus a nullo praestatur" — den Zufall trägt niemand, außer dem Risikoträger).</w:t>
      </w:r>
    </w:p>
    <w:p>
      <w:pPr>
        <w:pStyle w:val="ListNumber"/>
      </w:pPr>
      <w:r>
        <w:rPr>
          <w:b/>
        </w:rPr>
        <w:t>Sachmangel:</w:t>
      </w:r>
      <w:r>
        <w:t xml:space="preserve"> Der Zeitpunkt des Gefahrübergangs ist maßgeblich für die Beurteilung, ob ein Sachmangel vorliegt (§ 434 Abs. 1 BGB: „frei von Sachmängeln bei Gefahrübergang").</w:t>
      </w:r>
    </w:p>
    <w:p/>
    <w:p>
      <w:pPr>
        <w:pStyle w:val="Heading2"/>
      </w:pPr>
      <w:r>
        <w:rPr>
          <w:rFonts w:ascii="Times New Roman" w:hAnsi="Times New Roman"/>
        </w:rPr>
        <w:t>II. § 446 BGB — Übergabe als Regelfall</w:t>
      </w:r>
    </w:p>
    <w:p>
      <w:pPr>
        <w:pStyle w:val="Heading3"/>
      </w:pPr>
      <w:r>
        <w:rPr>
          <w:rFonts w:ascii="Times New Roman" w:hAnsi="Times New Roman"/>
        </w:rPr>
        <w:t>Normtext</w:t>
      </w:r>
    </w:p>
    <w:p>
      <w:pPr>
        <w:ind w:left="567"/>
      </w:pPr>
      <w:r>
        <w:rPr>
          <w:i/>
        </w:rPr>
        <w:t>§ 446 S. 1 BGB: „Mit der Übergabe der verkauften Sache geht die Gefahr des zufälligen Untergangs und der zufälligen Verschlechterung auf den Käufer über."</w:t>
      </w:r>
    </w:p>
    <w:p>
      <w:pPr>
        <w:pStyle w:val="Heading3"/>
      </w:pPr>
      <w:r>
        <w:rPr>
          <w:rFonts w:ascii="Times New Roman" w:hAnsi="Times New Roman"/>
        </w:rPr>
        <w:t>Voraussetzungen</w:t>
      </w:r>
    </w:p>
    <w:p>
      <w:pPr>
        <w:jc w:val="left"/>
      </w:pPr>
      <w:r>
        <w:t>Die Gefahr geht über mit:</w:t>
      </w:r>
    </w:p>
    <w:p>
      <w:pPr>
        <w:pStyle w:val="ListBullet"/>
      </w:pPr>
      <w:r>
        <w:t>Übergabe (Besitzübertragung, nicht bloßer Besitzmittlung);</w:t>
      </w:r>
    </w:p>
    <w:p>
      <w:pPr>
        <w:pStyle w:val="ListBullet"/>
      </w:pPr>
      <w:r>
        <w:t>Besitzverschaffung im vereinbarten Zustand.</w:t>
      </w:r>
    </w:p>
    <w:p>
      <w:pPr>
        <w:pStyle w:val="Heading3"/>
      </w:pPr>
      <w:r>
        <w:rPr>
          <w:rFonts w:ascii="Times New Roman" w:hAnsi="Times New Roman"/>
        </w:rPr>
        <w:t>Anwendung auf den Sachverhalt</w:t>
      </w:r>
    </w:p>
    <w:p>
      <w:pPr>
        <w:jc w:val="left"/>
      </w:pPr>
      <w:r>
        <w:t>Übergabe erfolgte am 01.04.2026 in der Galerie des A in Leipzig. Ab diesem Zeitpunkt trägt B die Preisgefahr.</w:t>
      </w:r>
    </w:p>
    <w:p>
      <w:pPr>
        <w:jc w:val="left"/>
      </w:pPr>
      <w:r>
        <w:rPr>
          <w:b/>
        </w:rPr>
        <w:t>Wichtig für die Hausarbeit:</w:t>
      </w:r>
      <w:r>
        <w:t xml:space="preserve"> Die Farbabplatzung war </w:t>
      </w:r>
      <w:r>
        <w:rPr>
          <w:b/>
        </w:rPr>
        <w:t>bereits bei Übergabe</w:t>
      </w:r>
      <w:r>
        <w:t xml:space="preserve"> vorhanden. Dies bedeutet:</w:t>
      </w:r>
    </w:p>
    <w:p>
      <w:pPr>
        <w:pStyle w:val="ListBullet"/>
      </w:pPr>
      <w:r>
        <w:t>Es liegt kein zufälliger nachträglicher Schaden vor, der die Preisgefahr des B aktiviert.</w:t>
      </w:r>
    </w:p>
    <w:p>
      <w:pPr>
        <w:pStyle w:val="ListBullet"/>
      </w:pPr>
      <w:r>
        <w:t>Vielmehr liegt ein Sachmangel vor, der schon vor Gefahrübergang bestand.</w:t>
      </w:r>
    </w:p>
    <w:p>
      <w:pPr>
        <w:pStyle w:val="ListBullet"/>
      </w:pPr>
      <w:r>
        <w:t>Die Mängelgewährleistung (§§ 437 ff. BGB) greift, nicht die Regelungen zum Gefahrübergang.</w:t>
      </w:r>
    </w:p>
    <w:p/>
    <w:p>
      <w:pPr>
        <w:pStyle w:val="Heading2"/>
      </w:pPr>
      <w:r>
        <w:rPr>
          <w:rFonts w:ascii="Times New Roman" w:hAnsi="Times New Roman"/>
        </w:rPr>
        <w:t>III. § 447 BGB — Versendungskauf</w:t>
      </w:r>
    </w:p>
    <w:p>
      <w:pPr>
        <w:pStyle w:val="Heading3"/>
      </w:pPr>
      <w:r>
        <w:rPr>
          <w:rFonts w:ascii="Times New Roman" w:hAnsi="Times New Roman"/>
        </w:rPr>
        <w:t>Normtext</w:t>
      </w:r>
    </w:p>
    <w:p>
      <w:pPr>
        <w:ind w:left="567"/>
      </w:pPr>
      <w:r>
        <w:rPr>
          <w:i/>
        </w:rPr>
        <w:t>§ 447 Abs. 1 BGB: „Versendet der Verkäufer auf Verlangen des Käufers die verkaufte Sache nach einem anderen Ort als dem Erfüllungsort, so geht die Gefahr auf den Käufer über, sobald der Verkäufer die Sache dem Spediteur, dem Frachtführer oder der sonst zur Ausführung der Versendung bestimmten Person oder Anstalt ausgeliefert hat."</w:t>
      </w:r>
    </w:p>
    <w:p>
      <w:pPr>
        <w:pStyle w:val="Heading3"/>
      </w:pPr>
      <w:r>
        <w:rPr>
          <w:rFonts w:ascii="Times New Roman" w:hAnsi="Times New Roman"/>
        </w:rPr>
        <w:t>Anwendbarkeit</w:t>
      </w:r>
    </w:p>
    <w:p>
      <w:pPr>
        <w:jc w:val="left"/>
      </w:pPr>
      <w:r>
        <w:t xml:space="preserve">§ 447 BGB ist im vorliegenden Fall </w:t>
      </w:r>
      <w:r>
        <w:rPr>
          <w:b/>
        </w:rPr>
        <w:t>nicht anwendbar</w:t>
      </w:r>
      <w:r>
        <w:t>:</w:t>
      </w:r>
    </w:p>
    <w:p>
      <w:pPr>
        <w:pStyle w:val="ListBullet"/>
      </w:pPr>
      <w:r>
        <w:t>Die Übergabe erfolgte am vereinbarten Übergabeort (Galerie Leipzig) — kein Versendungskauf.</w:t>
      </w:r>
    </w:p>
    <w:p>
      <w:pPr>
        <w:pStyle w:val="ListBullet"/>
      </w:pPr>
      <w:r>
        <w:t>A hat die Sache nicht versendet, sondern übergeben.</w:t>
      </w:r>
    </w:p>
    <w:p>
      <w:pPr>
        <w:jc w:val="left"/>
      </w:pPr>
      <w:r>
        <w:rPr>
          <w:b/>
        </w:rPr>
        <w:t>Sonderregel § 475 Abs. 2 BGB (Verbrauchsgüterkauf):</w:t>
      </w:r>
    </w:p>
    <w:p>
      <w:pPr>
        <w:jc w:val="left"/>
      </w:pPr>
      <w:r>
        <w:t>Beim Verbrauchsgüterkauf gilt § 447 Abs. 1 BGB ohnehin nur eingeschränkt: Die Versendungsgefahr geht erst über, wenn der Käufer die Beförderungsperson bestimmt hat (§ 475 Abs. 2 BGB — Umsetzung Art. 18 Abs. 1 Verbraucherrechte-RL). Diese Regelung hat hier keine Bedeutung.</w:t>
      </w:r>
    </w:p>
    <w:p/>
    <w:p>
      <w:pPr>
        <w:pStyle w:val="Heading2"/>
      </w:pPr>
      <w:r>
        <w:rPr>
          <w:rFonts w:ascii="Times New Roman" w:hAnsi="Times New Roman"/>
        </w:rPr>
        <w:t>IV. Gefahrtragung bei Nacherfüllung</w:t>
      </w:r>
    </w:p>
    <w:p>
      <w:pPr>
        <w:jc w:val="left"/>
      </w:pPr>
      <w:r>
        <w:t>Nach § 439 Abs. 5 BGB trägt der Verkäufer die Gefahr der Nacherfüllungssache bis zur Übergabe an den Käufer. Bei Nachbesserung (Restaurierung) am übergebenen Gemälde trägt A das Risiko der Nachbesserung bis zum Abschluss der Restaurierungsarbeiten.</w:t>
      </w:r>
    </w:p>
    <w:p>
      <w:pPr>
        <w:jc w:val="left"/>
      </w:pPr>
      <w:r>
        <w:t>Da A im vorliegenden Fall die Nachbesserung verweigert, greift dieser Aspekt praktisch nicht — er ist aber der Vollständigkeit halber zu erwähnen.</w:t>
      </w:r>
    </w:p>
    <w:p/>
    <w:p>
      <w:pPr>
        <w:pStyle w:val="Heading2"/>
      </w:pPr>
      <w:r>
        <w:rPr>
          <w:rFonts w:ascii="Times New Roman" w:hAnsi="Times New Roman"/>
        </w:rPr>
        <w:t>V. Ergebnis für die Hausarbeit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Gefahrübergang</w:t>
            </w:r>
          </w:p>
        </w:tc>
        <w:tc>
          <w:tcPr>
            <w:tcW w:type="dxa" w:w="4536"/>
          </w:tcPr>
          <w:p>
            <w:r>
              <w:rPr>
                <w:rFonts w:ascii="Times New Roman" w:hAnsi="Times New Roman"/>
                <w:sz w:val="20"/>
              </w:rPr>
              <w:t>01.04.2026 (§ 446 S. 1 BGB) — Übergabe in der Galerie</w:t>
            </w:r>
          </w:p>
        </w:tc>
      </w:tr>
      <w:tr>
        <w:tc>
          <w:tcPr>
            <w:tcW w:type="dxa" w:w="4536"/>
          </w:tcPr>
          <w:p>
            <w:r>
              <w:rPr>
                <w:rFonts w:ascii="Times New Roman" w:hAnsi="Times New Roman"/>
                <w:sz w:val="20"/>
              </w:rPr>
              <w:t>Liegt Sachmangel bei Gefahrübergang vor?</w:t>
            </w:r>
          </w:p>
        </w:tc>
        <w:tc>
          <w:tcPr>
            <w:tcW w:type="dxa" w:w="4536"/>
          </w:tcPr>
          <w:p>
            <w:r>
              <w:rPr>
                <w:rFonts w:ascii="Times New Roman" w:hAnsi="Times New Roman"/>
                <w:sz w:val="20"/>
              </w:rPr>
              <w:t>(+) — Farbabplatzung war bei Übergabe bereits vorhanden</w:t>
            </w:r>
          </w:p>
        </w:tc>
      </w:tr>
      <w:tr>
        <w:tc>
          <w:tcPr>
            <w:tcW w:type="dxa" w:w="4536"/>
          </w:tcPr>
          <w:p>
            <w:r>
              <w:rPr>
                <w:rFonts w:ascii="Times New Roman" w:hAnsi="Times New Roman"/>
                <w:sz w:val="20"/>
              </w:rPr>
              <w:t>Anwendung § 447 BGB</w:t>
            </w:r>
          </w:p>
        </w:tc>
        <w:tc>
          <w:tcPr>
            <w:tcW w:type="dxa" w:w="4536"/>
          </w:tcPr>
          <w:p>
            <w:r>
              <w:rPr>
                <w:rFonts w:ascii="Times New Roman" w:hAnsi="Times New Roman"/>
                <w:sz w:val="20"/>
              </w:rPr>
              <w:t>(-) — Kein Versendungskauf</w:t>
            </w:r>
          </w:p>
        </w:tc>
      </w:tr>
      <w:tr>
        <w:tc>
          <w:tcPr>
            <w:tcW w:type="dxa" w:w="4536"/>
          </w:tcPr>
          <w:p>
            <w:r>
              <w:rPr>
                <w:rFonts w:ascii="Times New Roman" w:hAnsi="Times New Roman"/>
                <w:sz w:val="20"/>
              </w:rPr>
              <w:t>Preisgefahr für zufällige Schäden nach 01.04.2026</w:t>
            </w:r>
          </w:p>
        </w:tc>
        <w:tc>
          <w:tcPr>
            <w:tcW w:type="dxa" w:w="4536"/>
          </w:tcPr>
          <w:p>
            <w:r>
              <w:rPr>
                <w:rFonts w:ascii="Times New Roman" w:hAnsi="Times New Roman"/>
                <w:sz w:val="20"/>
              </w:rPr>
              <w:t>Trägt B — aber nicht relevant, da Mangel schon vorlag</w:t>
            </w:r>
          </w:p>
        </w:tc>
      </w:tr>
    </w:tbl>
    <w:p/>
    <w:p>
      <w:pPr>
        <w:pStyle w:val="Heading2"/>
      </w:pPr>
      <w:r>
        <w:rPr>
          <w:rFonts w:ascii="Times New Roman" w:hAnsi="Times New Roman"/>
        </w:rPr>
        <w:t>VI. Streitstand: Übergabe und Besitz</w:t>
      </w:r>
    </w:p>
    <w:p>
      <w:pPr>
        <w:pStyle w:val="Heading3"/>
      </w:pPr>
      <w:r>
        <w:rPr>
          <w:rFonts w:ascii="Times New Roman" w:hAnsi="Times New Roman"/>
        </w:rPr>
        <w:t>Problem</w:t>
      </w:r>
    </w:p>
    <w:p>
      <w:pPr>
        <w:jc w:val="left"/>
      </w:pPr>
      <w:r>
        <w:t>Was genau ist „Übergabe" im Sinne des § 446 BGB?</w:t>
      </w:r>
    </w:p>
    <w:p>
      <w:pPr>
        <w:jc w:val="left"/>
      </w:pPr>
      <w:r>
        <w:rPr>
          <w:b/>
        </w:rPr>
        <w:t>h. M.:</w:t>
      </w:r>
      <w:r>
        <w:t xml:space="preserve"> Übergabe erfordert die Übertragung des unmittelbaren Besitzes (§ 854 BGB). Die bloße Bereitstellung ohne Besitzübergabe genügt nicht (BGH NJW 2001, 1032; Palandt/Weidenkaff, § 446 Rn. 4).</w:t>
      </w:r>
    </w:p>
    <w:p>
      <w:pPr>
        <w:jc w:val="left"/>
      </w:pPr>
      <w:r>
        <w:rPr>
          <w:b/>
        </w:rPr>
        <w:t>Sonderfall Briefmarken, Kunst:</w:t>
      </w:r>
      <w:r>
        <w:t xml:space="preserve"> Bei der Übergabe von Kunstgegenständen ist die Besitzübergabe mit dem Aushändigen des Werkes verbunden. Kein Sonderproblem hier.</w:t>
      </w:r>
    </w:p>
    <w:p/>
    <w:p>
      <w:pPr>
        <w:pStyle w:val="Heading2"/>
      </w:pPr>
      <w:r>
        <w:rPr>
          <w:rFonts w:ascii="Times New Roman" w:hAnsi="Times New Roman"/>
        </w:rPr>
        <w:t>Literatur-Vormerkliste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Quelle</w:t>
            </w:r>
          </w:p>
        </w:tc>
        <w:tc>
          <w:tcPr>
            <w:tcW w:type="dxa" w:w="3024"/>
          </w:tcPr>
          <w:p>
            <w:r>
              <w:rPr>
                <w:rFonts w:ascii="Times New Roman" w:hAnsi="Times New Roman"/>
                <w:b/>
                <w:sz w:val="20"/>
              </w:rPr>
              <w:t>Fundstelle</w:t>
            </w:r>
          </w:p>
        </w:tc>
        <w:tc>
          <w:tcPr>
            <w:tcW w:type="dxa" w:w="3024"/>
          </w:tcPr>
          <w:p>
            <w:r>
              <w:rPr>
                <w:rFonts w:ascii="Times New Roman" w:hAnsi="Times New Roman"/>
                <w:b/>
                <w:sz w:val="20"/>
              </w:rPr>
              <w:t>Relevanz</w:t>
            </w:r>
          </w:p>
        </w:tc>
      </w:tr>
      <w:tr>
        <w:tc>
          <w:tcPr>
            <w:tcW w:type="dxa" w:w="3024"/>
          </w:tcPr>
          <w:p>
            <w:r>
              <w:rPr>
                <w:rFonts w:ascii="Times New Roman" w:hAnsi="Times New Roman"/>
                <w:sz w:val="20"/>
              </w:rPr>
              <w:t>Palandt/Weidenkaff</w:t>
            </w:r>
          </w:p>
        </w:tc>
        <w:tc>
          <w:tcPr>
            <w:tcW w:type="dxa" w:w="3024"/>
          </w:tcPr>
          <w:p>
            <w:r>
              <w:rPr>
                <w:rFonts w:ascii="Times New Roman" w:hAnsi="Times New Roman"/>
                <w:sz w:val="20"/>
              </w:rPr>
              <w:t>§ 446 BGB, Rn. 1 ff.</w:t>
            </w:r>
          </w:p>
        </w:tc>
        <w:tc>
          <w:tcPr>
            <w:tcW w:type="dxa" w:w="3024"/>
          </w:tcPr>
          <w:p>
            <w:r>
              <w:rPr>
                <w:rFonts w:ascii="Times New Roman" w:hAnsi="Times New Roman"/>
                <w:sz w:val="20"/>
              </w:rPr>
              <w:t>Gefahrübergang Grundregeln</w:t>
            </w:r>
          </w:p>
        </w:tc>
      </w:tr>
      <w:tr>
        <w:tc>
          <w:tcPr>
            <w:tcW w:type="dxa" w:w="3024"/>
          </w:tcPr>
          <w:p>
            <w:r>
              <w:rPr>
                <w:rFonts w:ascii="Times New Roman" w:hAnsi="Times New Roman"/>
                <w:sz w:val="20"/>
              </w:rPr>
              <w:t>MüKo/Westermann</w:t>
            </w:r>
          </w:p>
        </w:tc>
        <w:tc>
          <w:tcPr>
            <w:tcW w:type="dxa" w:w="3024"/>
          </w:tcPr>
          <w:p>
            <w:r>
              <w:rPr>
                <w:rFonts w:ascii="Times New Roman" w:hAnsi="Times New Roman"/>
                <w:sz w:val="20"/>
              </w:rPr>
              <w:t>§ 446 BGB, Rn. 5 ff.</w:t>
            </w:r>
          </w:p>
        </w:tc>
        <w:tc>
          <w:tcPr>
            <w:tcW w:type="dxa" w:w="3024"/>
          </w:tcPr>
          <w:p>
            <w:r>
              <w:rPr>
                <w:rFonts w:ascii="Times New Roman" w:hAnsi="Times New Roman"/>
                <w:sz w:val="20"/>
              </w:rPr>
              <w:t>Übergabe-Begriff</w:t>
            </w:r>
          </w:p>
        </w:tc>
      </w:tr>
      <w:tr>
        <w:tc>
          <w:tcPr>
            <w:tcW w:type="dxa" w:w="3024"/>
          </w:tcPr>
          <w:p>
            <w:r>
              <w:rPr>
                <w:rFonts w:ascii="Times New Roman" w:hAnsi="Times New Roman"/>
                <w:sz w:val="20"/>
              </w:rPr>
              <w:t>BGH NJW 2001, 1032</w:t>
            </w:r>
          </w:p>
        </w:tc>
        <w:tc>
          <w:tcPr>
            <w:tcW w:type="dxa" w:w="3024"/>
          </w:tcPr>
          <w:p>
            <w:r>
              <w:rPr>
                <w:rFonts w:ascii="Times New Roman" w:hAnsi="Times New Roman"/>
                <w:sz w:val="20"/>
              </w:rPr>
              <w:t>—</w:t>
            </w:r>
          </w:p>
        </w:tc>
        <w:tc>
          <w:tcPr>
            <w:tcW w:type="dxa" w:w="3024"/>
          </w:tcPr>
          <w:p>
            <w:r>
              <w:rPr>
                <w:rFonts w:ascii="Times New Roman" w:hAnsi="Times New Roman"/>
                <w:sz w:val="20"/>
              </w:rPr>
              <w:t>Übergabe und Besitzübergabe</w:t>
            </w:r>
          </w:p>
        </w:tc>
      </w:tr>
      <w:tr>
        <w:tc>
          <w:tcPr>
            <w:tcW w:type="dxa" w:w="3024"/>
          </w:tcPr>
          <w:p>
            <w:r>
              <w:rPr>
                <w:rFonts w:ascii="Times New Roman" w:hAnsi="Times New Roman"/>
                <w:sz w:val="20"/>
              </w:rPr>
              <w:t>BGH NJW 2014, 2183</w:t>
            </w:r>
          </w:p>
        </w:tc>
        <w:tc>
          <w:tcPr>
            <w:tcW w:type="dxa" w:w="3024"/>
          </w:tcPr>
          <w:p>
            <w:r>
              <w:rPr>
                <w:rFonts w:ascii="Times New Roman" w:hAnsi="Times New Roman"/>
                <w:sz w:val="20"/>
              </w:rPr>
              <w:t>—</w:t>
            </w:r>
          </w:p>
        </w:tc>
        <w:tc>
          <w:tcPr>
            <w:tcW w:type="dxa" w:w="3024"/>
          </w:tcPr>
          <w:p>
            <w:r>
              <w:rPr>
                <w:rFonts w:ascii="Times New Roman" w:hAnsi="Times New Roman"/>
                <w:sz w:val="20"/>
              </w:rPr>
              <w:t>Sachmangel bei Gefahrübergang</w:t>
            </w:r>
          </w:p>
        </w:tc>
      </w:tr>
      <w:tr>
        <w:tc>
          <w:tcPr>
            <w:tcW w:type="dxa" w:w="3024"/>
          </w:tcPr>
          <w:p>
            <w:r>
              <w:rPr>
                <w:rFonts w:ascii="Times New Roman" w:hAnsi="Times New Roman"/>
                <w:sz w:val="20"/>
              </w:rPr>
              <w:t>Lorenz, NJW 2022, 2497</w:t>
            </w:r>
          </w:p>
        </w:tc>
        <w:tc>
          <w:tcPr>
            <w:tcW w:type="dxa" w:w="3024"/>
          </w:tcPr>
          <w:p>
            <w:r>
              <w:rPr>
                <w:rFonts w:ascii="Times New Roman" w:hAnsi="Times New Roman"/>
                <w:sz w:val="20"/>
              </w:rPr>
              <w:t>—</w:t>
            </w:r>
          </w:p>
        </w:tc>
        <w:tc>
          <w:tcPr>
            <w:tcW w:type="dxa" w:w="3024"/>
          </w:tcPr>
          <w:p>
            <w:r>
              <w:rPr>
                <w:rFonts w:ascii="Times New Roman" w:hAnsi="Times New Roman"/>
                <w:sz w:val="20"/>
              </w:rPr>
              <w:t>Gefahrübergang im reformierten Kaufrecht</w:t>
            </w:r>
          </w:p>
        </w:tc>
      </w:tr>
    </w:tbl>
    <w:p/>
    <w:p>
      <w:pPr>
        <w:jc w:val="left"/>
      </w:pPr>
      <w:r>
        <w:rPr>
          <w:i/>
        </w:rPr>
        <w:t>Aktenstück 15 von 22 — Gefahrübergang §§ 446, 447 BGB</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