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Eigentumsübertragung: §§ 929, 930 BGB</w:t>
      </w:r>
    </w:p>
    <w:p>
      <w:pPr>
        <w:jc w:val="left"/>
      </w:pPr>
      <w:r>
        <w:rPr>
          <w:b/>
        </w:rPr>
        <w:t>Bearbeiter:</w:t>
      </w:r>
      <w:r>
        <w:t xml:space="preserve"> Konrad Pohlmann</w:t>
      </w:r>
    </w:p>
    <w:p>
      <w:pPr>
        <w:jc w:val="left"/>
      </w:pPr>
      <w:r>
        <w:rPr>
          <w:b/>
        </w:rPr>
        <w:t>Stand:</w:t>
      </w:r>
      <w:r>
        <w:t xml:space="preserve"> 30.04.2026</w:t>
      </w:r>
    </w:p>
    <w:p/>
    <w:p>
      <w:pPr>
        <w:pStyle w:val="Heading2"/>
      </w:pPr>
      <w:r>
        <w:rPr>
          <w:rFonts w:ascii="Times New Roman" w:hAnsi="Times New Roman"/>
        </w:rPr>
        <w:t>Vorbemerkung: Relevanz für die Hausarbeit</w:t>
      </w:r>
    </w:p>
    <w:p>
      <w:pPr>
        <w:jc w:val="left"/>
      </w:pPr>
      <w:r>
        <w:t>Die sachenrechtliche Eigentumsübertragung ist in der Aufgabenstellung nicht ausdrücklich als eigener Prüfungspunkt genannt. Sie ist jedoch insofern relevant, als B nach Rücktritt (§§ 437 Nr. 2, 323 BGB) das Gemälde zurückgeben muss und dabei das Eigentum an A rückübertragen werden muss (§§ 346 Abs. 1, 929 BGB). Außerdem stellt sich bei § 404 BGB die Frage, ob C als neue Gläubigerin irgendwelche sachenrechtlichen Positionen erworben hat — was sie nicht hat, da nur die schuldrechtliche Forderung abgetreten wurde.</w:t>
      </w:r>
    </w:p>
    <w:p>
      <w:pPr>
        <w:jc w:val="left"/>
      </w:pPr>
      <w:r>
        <w:t>Das folgende Aktenstück ist ein Hintergrundstück und wird nur in der Hausarbeit am Rande erwähnt.</w:t>
      </w:r>
    </w:p>
    <w:p/>
    <w:p>
      <w:pPr>
        <w:pStyle w:val="Heading2"/>
      </w:pPr>
      <w:r>
        <w:rPr>
          <w:rFonts w:ascii="Times New Roman" w:hAnsi="Times New Roman"/>
        </w:rPr>
        <w:t>I. Eigentumsübertragung beweglicher Sachen: § 929 BGB</w:t>
      </w:r>
    </w:p>
    <w:p>
      <w:pPr>
        <w:pStyle w:val="Heading3"/>
      </w:pPr>
      <w:r>
        <w:rPr>
          <w:rFonts w:ascii="Times New Roman" w:hAnsi="Times New Roman"/>
        </w:rPr>
        <w:t>Normtext</w:t>
      </w:r>
    </w:p>
    <w:p>
      <w:pPr>
        <w:ind w:left="567"/>
      </w:pPr>
      <w:r>
        <w:rPr>
          <w:i/>
        </w:rPr>
        <w:t>§ 929 S. 1 BGB: „Zur Übertragung des Eigentums an einer beweglichen Sache ist erforderlich, dass der Eigentümer die Sache dem Erwerber übergibt und beide darüber einig sind, dass das Eigentum übergehen soll."</w:t>
      </w:r>
    </w:p>
    <w:p>
      <w:pPr>
        <w:pStyle w:val="Heading3"/>
      </w:pPr>
      <w:r>
        <w:rPr>
          <w:rFonts w:ascii="Times New Roman" w:hAnsi="Times New Roman"/>
        </w:rPr>
        <w:t>Voraussetzungen</w:t>
      </w:r>
    </w:p>
    <w:p>
      <w:pPr>
        <w:pStyle w:val="ListNumber"/>
      </w:pPr>
      <w:r>
        <w:rPr>
          <w:b/>
        </w:rPr>
        <w:t>Einigung</w:t>
      </w:r>
      <w:r>
        <w:t xml:space="preserve"> (dingliche Einigung, § 929 BGB): übereinstimmende Willenserklärungen beider Parteien über den Eigentumsübergang. Die dingliche Einigung ist von der schuldrechtlichen Einigung (Kaufvertrag) zu unterscheiden (Abstraktionsprinzip!).</w:t>
      </w:r>
    </w:p>
    <w:p>
      <w:pPr>
        <w:pStyle w:val="ListNumber"/>
      </w:pPr>
      <w:r>
        <w:rPr>
          <w:b/>
        </w:rPr>
        <w:t>Übergabe</w:t>
      </w:r>
      <w:r>
        <w:t xml:space="preserve"> (§ 929 S. 1 BGB): Verschaffung unmittelbaren Besitzes an den Erwerber.</w:t>
      </w:r>
    </w:p>
    <w:p>
      <w:pPr>
        <w:pStyle w:val="Heading3"/>
      </w:pPr>
      <w:r>
        <w:rPr>
          <w:rFonts w:ascii="Times New Roman" w:hAnsi="Times New Roman"/>
        </w:rPr>
        <w:t>Anwendung</w:t>
      </w:r>
    </w:p>
    <w:p>
      <w:pPr>
        <w:jc w:val="left"/>
      </w:pPr>
      <w:r>
        <w:t>Am 01.04.2026 übergab A das Gemälde an B in der Galerie Leipzig. Dies begründet:</w:t>
      </w:r>
    </w:p>
    <w:p>
      <w:pPr>
        <w:pStyle w:val="ListBullet"/>
      </w:pPr>
      <w:r>
        <w:t>Übergabe (§ 929 S. 1 BGB) ✓</w:t>
      </w:r>
    </w:p>
    <w:p>
      <w:pPr>
        <w:pStyle w:val="ListBullet"/>
      </w:pPr>
      <w:r>
        <w:t>Dingliche Einigung: Aus dem Kaufvertrag und der Übergabe ergibt sich die konkludente dingliche Einigung ✓</w:t>
      </w:r>
    </w:p>
    <w:p>
      <w:pPr>
        <w:pStyle w:val="ListBullet"/>
      </w:pPr>
      <w:r>
        <w:t>Ergebnis: B hat am 01.04.2026 Eigentum an der Vermeer-Replik erworben. ✓</w:t>
      </w:r>
    </w:p>
    <w:p/>
    <w:p>
      <w:pPr>
        <w:pStyle w:val="Heading2"/>
      </w:pPr>
      <w:r>
        <w:rPr>
          <w:rFonts w:ascii="Times New Roman" w:hAnsi="Times New Roman"/>
        </w:rPr>
        <w:t>II. Eigentumsübertragung durch Besitzkonstitut: § 930 BGB</w:t>
      </w:r>
    </w:p>
    <w:p>
      <w:pPr>
        <w:pStyle w:val="Heading3"/>
      </w:pPr>
      <w:r>
        <w:rPr>
          <w:rFonts w:ascii="Times New Roman" w:hAnsi="Times New Roman"/>
        </w:rPr>
        <w:t>Normtext</w:t>
      </w:r>
    </w:p>
    <w:p>
      <w:pPr>
        <w:ind w:left="567"/>
      </w:pPr>
      <w:r>
        <w:rPr>
          <w:i/>
        </w:rPr>
        <w:t>§ 930 BGB: „Ist der Eigentümer im Besitz der Sache, so kann die Übergabe dadurch ersetzt werden, dass zwischen ihm und dem Erwerber ein Rechtsverhältnis vereinbart wird, vermöge dessen der Erwerber den mittelbaren Besitz erlangt."</w:t>
      </w:r>
    </w:p>
    <w:p>
      <w:pPr>
        <w:pStyle w:val="Heading3"/>
      </w:pPr>
      <w:r>
        <w:rPr>
          <w:rFonts w:ascii="Times New Roman" w:hAnsi="Times New Roman"/>
        </w:rPr>
        <w:t>Relevanz</w:t>
      </w:r>
    </w:p>
    <w:p>
      <w:pPr>
        <w:jc w:val="left"/>
      </w:pPr>
      <w:r>
        <w:t>§ 930 BGB (Besitzkonstitut/Constitutum possessorium) wäre relevant, wenn A das Gemälde nach Verkauf weiterhin besäße (z. B. als Verwahrer). Im vorliegenden Fall erfolgte jedoch eine physische Übergabe am 01.04.2026, sodass § 930 BGB nicht anwendbar ist.</w:t>
      </w:r>
    </w:p>
    <w:p/>
    <w:p>
      <w:pPr>
        <w:pStyle w:val="Heading2"/>
      </w:pPr>
      <w:r>
        <w:rPr>
          <w:rFonts w:ascii="Times New Roman" w:hAnsi="Times New Roman"/>
        </w:rPr>
        <w:t>III. Abstraktionsprinzip und Trennungsprinzip</w:t>
      </w:r>
    </w:p>
    <w:p>
      <w:pPr>
        <w:jc w:val="left"/>
      </w:pPr>
      <w:r>
        <w:t xml:space="preserve">Das deutsche Sachenrecht kennt das </w:t>
      </w:r>
      <w:r>
        <w:rPr>
          <w:b/>
        </w:rPr>
        <w:t>Abstraktionsprinzip</w:t>
      </w:r>
      <w:r>
        <w:t>: Der schuldrechtliche Vertrag (Kaufvertrag) und die dingliche Übereignung (§ 929 BGB) sind zwei voneinander unabhängige Rechtsgeschäfte.</w:t>
      </w:r>
    </w:p>
    <w:p>
      <w:pPr>
        <w:jc w:val="left"/>
      </w:pPr>
      <w:r>
        <w:t>Konsequenz für die Hausarbeit:</w:t>
      </w:r>
    </w:p>
    <w:p>
      <w:pPr>
        <w:pStyle w:val="ListBullet"/>
      </w:pPr>
      <w:r>
        <w:t>Selbst wenn der Kaufvertrag nichtig oder durch Rücktritt aufgelöst wird, bleibt die Eigentumsübertragung zunächst wirksam.</w:t>
      </w:r>
    </w:p>
    <w:p>
      <w:pPr>
        <w:pStyle w:val="ListBullet"/>
      </w:pPr>
      <w:r>
        <w:t>Rückgabeanspruch bei Rücktritt: § 346 Abs. 1 BGB (schuldrechtlicher Rückübertragungsanspruch), der dann durch erneute dingliche Einigung und Übergabe (§ 929 BGB) zu vollziehen ist.</w:t>
      </w:r>
    </w:p>
    <w:p/>
    <w:p>
      <w:pPr>
        <w:pStyle w:val="Heading2"/>
      </w:pPr>
      <w:r>
        <w:rPr>
          <w:rFonts w:ascii="Times New Roman" w:hAnsi="Times New Roman"/>
        </w:rPr>
        <w:t>IV. Eigentumsübertragung und Abtretung: Abgrenzung</w:t>
      </w:r>
    </w:p>
    <w:p>
      <w:pPr>
        <w:jc w:val="left"/>
      </w:pPr>
      <w:r>
        <w:rPr>
          <w:b/>
        </w:rPr>
        <w:t>Wichtig für die Hausarbeit:</w:t>
      </w:r>
    </w:p>
    <w:p>
      <w:pPr>
        <w:jc w:val="left"/>
      </w:pPr>
      <w:r>
        <w:t xml:space="preserve">A hat an C </w:t>
      </w:r>
      <w:r>
        <w:rPr>
          <w:b/>
        </w:rPr>
        <w:t>nur die schuldrechtliche Kaufpreisforderung</w:t>
      </w:r>
      <w:r>
        <w:t xml:space="preserve"> abgetreten (§ 398 BGB), nicht das Eigentum am Gemälde. Das Gemälde gehört dem B (seit 01.04.2026). C hat keinerlei dingliche Rechte am Gemälde — sie ist lediglich neue Gläubigerin der Kaufpreisforderung.</w:t>
      </w:r>
    </w:p>
    <w:p>
      <w:pPr>
        <w:jc w:val="left"/>
      </w:pPr>
      <w:r>
        <w:t>Dies ist im Gutachten klar zu stellen, um Missverständnissen vorzubeugen.</w:t>
      </w:r>
    </w:p>
    <w:p/>
    <w:p>
      <w:pPr>
        <w:pStyle w:val="Heading2"/>
      </w:pPr>
      <w:r>
        <w:rPr>
          <w:rFonts w:ascii="Times New Roman" w:hAnsi="Times New Roman"/>
        </w:rPr>
        <w:t>V. Rückübertragung nach Rücktritt</w:t>
      </w:r>
    </w:p>
    <w:p>
      <w:pPr>
        <w:jc w:val="left"/>
      </w:pPr>
      <w:r>
        <w:t>Bei wirksamem Rücktritt:</w:t>
      </w:r>
    </w:p>
    <w:p>
      <w:pPr>
        <w:pStyle w:val="ListBullet"/>
      </w:pPr>
      <w:r>
        <w:t>Schuldrechtliche Pflicht zur Rückgabe: § 346 Abs. 1 BGB</w:t>
      </w:r>
    </w:p>
    <w:p>
      <w:pPr>
        <w:pStyle w:val="ListBullet"/>
      </w:pPr>
      <w:r>
        <w:t>Dingliche Rückübertragung: §§ 929 ff. BGB (Einigung + Übergabe)</w:t>
      </w:r>
    </w:p>
    <w:p>
      <w:pPr>
        <w:pStyle w:val="ListBullet"/>
      </w:pPr>
      <w:r>
        <w:t>Bis zur dinglichen Rückübertragung bleibt B Eigentümer.</w:t>
      </w:r>
    </w:p>
    <w:p>
      <w:pPr>
        <w:pStyle w:val="ListBullet"/>
      </w:pPr>
      <w:r>
        <w:t>A hat lediglich einen schuldrechtlichen Rückgabe- und Rückübereignungsanspruch.</w:t>
      </w:r>
    </w:p>
    <w:p/>
    <w:p>
      <w:pPr>
        <w:pStyle w:val="Heading2"/>
      </w:pPr>
      <w:r>
        <w:rPr>
          <w:rFonts w:ascii="Times New Roman" w:hAnsi="Times New Roman"/>
        </w:rPr>
        <w:t>Kurzzusammenfassung für die Hausarbeit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Eigentumserwerb B</w:t>
            </w:r>
          </w:p>
        </w:tc>
        <w:tc>
          <w:tcPr>
            <w:tcW w:type="dxa" w:w="4536"/>
          </w:tcPr>
          <w:p>
            <w:r>
              <w:rPr>
                <w:rFonts w:ascii="Times New Roman" w:hAnsi="Times New Roman"/>
                <w:sz w:val="20"/>
              </w:rPr>
              <w:t>(+) gemäß § 929 S. 1 BGB am 01.04.2026</w:t>
            </w:r>
          </w:p>
        </w:tc>
      </w:tr>
      <w:tr>
        <w:tc>
          <w:tcPr>
            <w:tcW w:type="dxa" w:w="4536"/>
          </w:tcPr>
          <w:p>
            <w:r>
              <w:rPr>
                <w:rFonts w:ascii="Times New Roman" w:hAnsi="Times New Roman"/>
                <w:sz w:val="20"/>
              </w:rPr>
              <w:t>§ 930 BGB (Besitzkonstitut)</w:t>
            </w:r>
          </w:p>
        </w:tc>
        <w:tc>
          <w:tcPr>
            <w:tcW w:type="dxa" w:w="4536"/>
          </w:tcPr>
          <w:p>
            <w:r>
              <w:rPr>
                <w:rFonts w:ascii="Times New Roman" w:hAnsi="Times New Roman"/>
                <w:sz w:val="20"/>
              </w:rPr>
              <w:t>Nicht einschlägig (physische Übergabe erfolgt)</w:t>
            </w:r>
          </w:p>
        </w:tc>
      </w:tr>
      <w:tr>
        <w:tc>
          <w:tcPr>
            <w:tcW w:type="dxa" w:w="4536"/>
          </w:tcPr>
          <w:p>
            <w:r>
              <w:rPr>
                <w:rFonts w:ascii="Times New Roman" w:hAnsi="Times New Roman"/>
                <w:sz w:val="20"/>
              </w:rPr>
              <w:t>Abtretung = Eigentumsübertragung?</w:t>
            </w:r>
          </w:p>
        </w:tc>
        <w:tc>
          <w:tcPr>
            <w:tcW w:type="dxa" w:w="4536"/>
          </w:tcPr>
          <w:p>
            <w:r>
              <w:rPr>
                <w:rFonts w:ascii="Times New Roman" w:hAnsi="Times New Roman"/>
                <w:sz w:val="20"/>
              </w:rPr>
              <w:t>Nein — nur Forderungsabtretung (§ 398 BGB)</w:t>
            </w:r>
          </w:p>
        </w:tc>
      </w:tr>
      <w:tr>
        <w:tc>
          <w:tcPr>
            <w:tcW w:type="dxa" w:w="4536"/>
          </w:tcPr>
          <w:p>
            <w:r>
              <w:rPr>
                <w:rFonts w:ascii="Times New Roman" w:hAnsi="Times New Roman"/>
                <w:sz w:val="20"/>
              </w:rPr>
              <w:t>C hat Eigentumsrechte am Gemälde?</w:t>
            </w:r>
          </w:p>
        </w:tc>
        <w:tc>
          <w:tcPr>
            <w:tcW w:type="dxa" w:w="4536"/>
          </w:tcPr>
          <w:p>
            <w:r>
              <w:rPr>
                <w:rFonts w:ascii="Times New Roman" w:hAnsi="Times New Roman"/>
                <w:sz w:val="20"/>
              </w:rPr>
              <w:t>Nein</w:t>
            </w:r>
          </w:p>
        </w:tc>
      </w:tr>
      <w:tr>
        <w:tc>
          <w:tcPr>
            <w:tcW w:type="dxa" w:w="4536"/>
          </w:tcPr>
          <w:p>
            <w:r>
              <w:rPr>
                <w:rFonts w:ascii="Times New Roman" w:hAnsi="Times New Roman"/>
                <w:sz w:val="20"/>
              </w:rPr>
              <w:t>Rückübertragung bei Rücktritt</w:t>
            </w:r>
          </w:p>
        </w:tc>
        <w:tc>
          <w:tcPr>
            <w:tcW w:type="dxa" w:w="4536"/>
          </w:tcPr>
          <w:p>
            <w:r>
              <w:rPr>
                <w:rFonts w:ascii="Times New Roman" w:hAnsi="Times New Roman"/>
                <w:sz w:val="20"/>
              </w:rPr>
              <w:t>§ 346 Abs. 1 + §§ 929 ff. BGB</w:t>
            </w:r>
          </w:p>
        </w:tc>
      </w:tr>
    </w:tbl>
    <w:p/>
    <w:p>
      <w:pPr>
        <w:jc w:val="left"/>
      </w:pPr>
      <w:r>
        <w:rPr>
          <w:i/>
        </w:rPr>
        <w:t>Aktenstück 16 von 22 — Eigentumsübertragung §§ 929, 930 BGB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