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Eingrenzung der Aufrechnungslagen und prozessuale Dimensionen</w:t>
      </w:r>
    </w:p>
    <w:p>
      <w:pPr>
        <w:jc w:val="left"/>
      </w:pPr>
      <w:r>
        <w:rPr>
          <w:b/>
        </w:rPr>
        <w:t>Bearbeiter:</w:t>
      </w:r>
      <w:r>
        <w:t xml:space="preserve"> Konrad Pohlmann</w:t>
      </w:r>
    </w:p>
    <w:p>
      <w:pPr>
        <w:jc w:val="left"/>
      </w:pPr>
      <w:r>
        <w:rPr>
          <w:b/>
        </w:rPr>
        <w:t>Stand:</w:t>
      </w:r>
      <w:r>
        <w:t xml:space="preserve"> 01.05.2026</w:t>
      </w:r>
    </w:p>
    <w:p/>
    <w:p>
      <w:pPr>
        <w:pStyle w:val="Heading2"/>
      </w:pPr>
      <w:r>
        <w:rPr>
          <w:rFonts w:ascii="Times New Roman" w:hAnsi="Times New Roman"/>
        </w:rPr>
        <w:t>Überblick</w:t>
      </w:r>
    </w:p>
    <w:p>
      <w:pPr>
        <w:jc w:val="left"/>
      </w:pPr>
      <w:r>
        <w:t>Dieser Abschnitt behandelt die Abgrenzung der materiell-rechtlichen Aufrechnung (§§ 387 ff. BGB) von der prozessualen Aufrechnung sowie die Besonderheiten bei der Geltendmachung der Aufrechnung im Zivilprozess.</w:t>
      </w:r>
    </w:p>
    <w:p/>
    <w:p>
      <w:pPr>
        <w:pStyle w:val="Heading2"/>
      </w:pPr>
      <w:r>
        <w:rPr>
          <w:rFonts w:ascii="Times New Roman" w:hAnsi="Times New Roman"/>
        </w:rPr>
        <w:t>I. Materiell-rechtliche vs. prozessuale Aufrechnung</w:t>
      </w:r>
    </w:p>
    <w:p>
      <w:pPr>
        <w:pStyle w:val="Heading3"/>
      </w:pPr>
      <w:r>
        <w:rPr>
          <w:rFonts w:ascii="Times New Roman" w:hAnsi="Times New Roman"/>
        </w:rPr>
        <w:t>Unterscheidung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Merkmal</w:t>
            </w:r>
          </w:p>
        </w:tc>
        <w:tc>
          <w:tcPr>
            <w:tcW w:type="dxa" w:w="3024"/>
          </w:tcPr>
          <w:p>
            <w:r>
              <w:rPr>
                <w:rFonts w:ascii="Times New Roman" w:hAnsi="Times New Roman"/>
                <w:b/>
                <w:sz w:val="20"/>
              </w:rPr>
              <w:t>Materiell-rechtliche Aufrechnung</w:t>
            </w:r>
          </w:p>
        </w:tc>
        <w:tc>
          <w:tcPr>
            <w:tcW w:type="dxa" w:w="3024"/>
          </w:tcPr>
          <w:p>
            <w:r>
              <w:rPr>
                <w:rFonts w:ascii="Times New Roman" w:hAnsi="Times New Roman"/>
                <w:b/>
                <w:sz w:val="20"/>
              </w:rPr>
              <w:t>Prozessuale Aufrechnung</w:t>
            </w:r>
          </w:p>
        </w:tc>
      </w:tr>
      <w:tr>
        <w:tc>
          <w:tcPr>
            <w:tcW w:type="dxa" w:w="3024"/>
          </w:tcPr>
          <w:p>
            <w:r>
              <w:rPr>
                <w:rFonts w:ascii="Times New Roman" w:hAnsi="Times New Roman"/>
                <w:sz w:val="20"/>
              </w:rPr>
              <w:t>Rechtsgrundlage</w:t>
            </w:r>
          </w:p>
        </w:tc>
        <w:tc>
          <w:tcPr>
            <w:tcW w:type="dxa" w:w="3024"/>
          </w:tcPr>
          <w:p>
            <w:r>
              <w:rPr>
                <w:rFonts w:ascii="Times New Roman" w:hAnsi="Times New Roman"/>
                <w:sz w:val="20"/>
              </w:rPr>
              <w:t>§§ 387–396 BGB</w:t>
            </w:r>
          </w:p>
        </w:tc>
        <w:tc>
          <w:tcPr>
            <w:tcW w:type="dxa" w:w="3024"/>
          </w:tcPr>
          <w:p>
            <w:r>
              <w:rPr>
                <w:rFonts w:ascii="Times New Roman" w:hAnsi="Times New Roman"/>
                <w:sz w:val="20"/>
              </w:rPr>
              <w:t>§§ 387 ff. BGB + § 322 Abs. 2 ZPO</w:t>
            </w:r>
          </w:p>
        </w:tc>
      </w:tr>
      <w:tr>
        <w:tc>
          <w:tcPr>
            <w:tcW w:type="dxa" w:w="3024"/>
          </w:tcPr>
          <w:p>
            <w:r>
              <w:rPr>
                <w:rFonts w:ascii="Times New Roman" w:hAnsi="Times New Roman"/>
                <w:sz w:val="20"/>
              </w:rPr>
              <w:t>Zeitpunkt</w:t>
            </w:r>
          </w:p>
        </w:tc>
        <w:tc>
          <w:tcPr>
            <w:tcW w:type="dxa" w:w="3024"/>
          </w:tcPr>
          <w:p>
            <w:r>
              <w:rPr>
                <w:rFonts w:ascii="Times New Roman" w:hAnsi="Times New Roman"/>
                <w:sz w:val="20"/>
              </w:rPr>
              <w:t>Jederzeit außergerichtlich</w:t>
            </w:r>
          </w:p>
        </w:tc>
        <w:tc>
          <w:tcPr>
            <w:tcW w:type="dxa" w:w="3024"/>
          </w:tcPr>
          <w:p>
            <w:r>
              <w:rPr>
                <w:rFonts w:ascii="Times New Roman" w:hAnsi="Times New Roman"/>
                <w:sz w:val="20"/>
              </w:rPr>
              <w:t>Im laufenden Prozess</w:t>
            </w:r>
          </w:p>
        </w:tc>
      </w:tr>
      <w:tr>
        <w:tc>
          <w:tcPr>
            <w:tcW w:type="dxa" w:w="3024"/>
          </w:tcPr>
          <w:p>
            <w:r>
              <w:rPr>
                <w:rFonts w:ascii="Times New Roman" w:hAnsi="Times New Roman"/>
                <w:sz w:val="20"/>
              </w:rPr>
              <w:t>Form</w:t>
            </w:r>
          </w:p>
        </w:tc>
        <w:tc>
          <w:tcPr>
            <w:tcW w:type="dxa" w:w="3024"/>
          </w:tcPr>
          <w:p>
            <w:r>
              <w:rPr>
                <w:rFonts w:ascii="Times New Roman" w:hAnsi="Times New Roman"/>
                <w:sz w:val="20"/>
              </w:rPr>
              <w:t>Einseitige WE (§ 388 BGB)</w:t>
            </w:r>
          </w:p>
        </w:tc>
        <w:tc>
          <w:tcPr>
            <w:tcW w:type="dxa" w:w="3024"/>
          </w:tcPr>
          <w:p>
            <w:r>
              <w:rPr>
                <w:rFonts w:ascii="Times New Roman" w:hAnsi="Times New Roman"/>
                <w:sz w:val="20"/>
              </w:rPr>
              <w:t>Prozesshandlung + WE</w:t>
            </w:r>
          </w:p>
        </w:tc>
      </w:tr>
      <w:tr>
        <w:tc>
          <w:tcPr>
            <w:tcW w:type="dxa" w:w="3024"/>
          </w:tcPr>
          <w:p>
            <w:r>
              <w:rPr>
                <w:rFonts w:ascii="Times New Roman" w:hAnsi="Times New Roman"/>
                <w:sz w:val="20"/>
              </w:rPr>
              <w:t>Rechtskraft</w:t>
            </w:r>
          </w:p>
        </w:tc>
        <w:tc>
          <w:tcPr>
            <w:tcW w:type="dxa" w:w="3024"/>
          </w:tcPr>
          <w:p>
            <w:r>
              <w:rPr>
                <w:rFonts w:ascii="Times New Roman" w:hAnsi="Times New Roman"/>
                <w:sz w:val="20"/>
              </w:rPr>
              <w:t>Keine eigene Rechtskraft</w:t>
            </w:r>
          </w:p>
        </w:tc>
        <w:tc>
          <w:tcPr>
            <w:tcW w:type="dxa" w:w="3024"/>
          </w:tcPr>
          <w:p>
            <w:r>
              <w:rPr>
                <w:rFonts w:ascii="Times New Roman" w:hAnsi="Times New Roman"/>
                <w:sz w:val="20"/>
              </w:rPr>
              <w:t>§ 322 Abs. 2 ZPO: Rechtskraft auch für Gegenforderung</w:t>
            </w:r>
          </w:p>
        </w:tc>
      </w:tr>
      <w:tr>
        <w:tc>
          <w:tcPr>
            <w:tcW w:type="dxa" w:w="3024"/>
          </w:tcPr>
          <w:p>
            <w:r>
              <w:rPr>
                <w:rFonts w:ascii="Times New Roman" w:hAnsi="Times New Roman"/>
                <w:sz w:val="20"/>
              </w:rPr>
              <w:t>Wirkung</w:t>
            </w:r>
          </w:p>
        </w:tc>
        <w:tc>
          <w:tcPr>
            <w:tcW w:type="dxa" w:w="3024"/>
          </w:tcPr>
          <w:p>
            <w:r>
              <w:rPr>
                <w:rFonts w:ascii="Times New Roman" w:hAnsi="Times New Roman"/>
                <w:sz w:val="20"/>
              </w:rPr>
              <w:t>§ 389 BGB: ex tunc</w:t>
            </w:r>
          </w:p>
        </w:tc>
        <w:tc>
          <w:tcPr>
            <w:tcW w:type="dxa" w:w="3024"/>
          </w:tcPr>
          <w:p>
            <w:r>
              <w:rPr>
                <w:rFonts w:ascii="Times New Roman" w:hAnsi="Times New Roman"/>
                <w:sz w:val="20"/>
              </w:rPr>
              <w:t>Wie materiell-rechtlich, + Rechtskraft</w:t>
            </w:r>
          </w:p>
        </w:tc>
      </w:tr>
    </w:tbl>
    <w:p>
      <w:pPr>
        <w:pStyle w:val="Heading3"/>
      </w:pPr>
      <w:r>
        <w:rPr>
          <w:rFonts w:ascii="Times New Roman" w:hAnsi="Times New Roman"/>
        </w:rPr>
        <w:t>Sachverhaltsrelevanz</w:t>
      </w:r>
    </w:p>
    <w:p>
      <w:pPr>
        <w:jc w:val="left"/>
      </w:pPr>
      <w:r>
        <w:t>B hat bereits vor Klageerhebung durch C (22.04.2026) die Aufrechnung erklärt (10.04.2026). Die Aufrechnung war damit materiell-rechtlich wirksam, bevor der Prozess begann.</w:t>
      </w:r>
    </w:p>
    <w:p>
      <w:pPr>
        <w:jc w:val="left"/>
      </w:pPr>
      <w:r>
        <w:t xml:space="preserve">Wenn B im Prozess diese Aufrechnung </w:t>
      </w:r>
      <w:r>
        <w:rPr>
          <w:b/>
        </w:rPr>
        <w:t>erneut</w:t>
      </w:r>
      <w:r>
        <w:t xml:space="preserve"> geltend macht (als Einwendung gegen den Anspruch der C), handelt es sich prozessual um eine Einwendung aus § 404 BGB — nicht um eine neue Aufrechnungserklärung.</w:t>
      </w:r>
    </w:p>
    <w:p>
      <w:pPr>
        <w:jc w:val="left"/>
      </w:pPr>
      <w:r>
        <w:t>Wenn B im Prozess erstmalig oder hilfsweise aufrechnet, greift § 322 Abs. 2 ZPO.</w:t>
      </w:r>
    </w:p>
    <w:p/>
    <w:p>
      <w:pPr>
        <w:pStyle w:val="Heading2"/>
      </w:pPr>
      <w:r>
        <w:rPr>
          <w:rFonts w:ascii="Times New Roman" w:hAnsi="Times New Roman"/>
        </w:rPr>
        <w:t>II. Einwendung aus § 404 BGB im Prozess</w:t>
      </w:r>
    </w:p>
    <w:p>
      <w:pPr>
        <w:pStyle w:val="Heading3"/>
      </w:pPr>
      <w:r>
        <w:rPr>
          <w:rFonts w:ascii="Times New Roman" w:hAnsi="Times New Roman"/>
        </w:rPr>
        <w:t>Inhalt</w:t>
      </w:r>
    </w:p>
    <w:p>
      <w:pPr>
        <w:jc w:val="left"/>
      </w:pPr>
      <w:r>
        <w:t>B erklärt: „Die Forderung ist bereits durch meine Aufrechnungserklärung vom 10.04.2026 in Höhe von 2.200 Euro erloschen."</w:t>
      </w:r>
    </w:p>
    <w:p>
      <w:pPr>
        <w:jc w:val="left"/>
      </w:pPr>
      <w:r>
        <w:t xml:space="preserve">Dies ist keine neue Aufrechnungserklärung, sondern die </w:t>
      </w:r>
      <w:r>
        <w:rPr>
          <w:b/>
        </w:rPr>
        <w:t>Geltendmachung des materiell-rechtlichen Erlöschens</w:t>
      </w:r>
      <w:r>
        <w:t xml:space="preserve"> durch Einwendung (§ 404 BGB). C trägt daher die volle Forderung nur noch in Höhe von 2.600 Euro.</w:t>
      </w:r>
    </w:p>
    <w:p>
      <w:pPr>
        <w:pStyle w:val="Heading3"/>
      </w:pPr>
      <w:r>
        <w:rPr>
          <w:rFonts w:ascii="Times New Roman" w:hAnsi="Times New Roman"/>
        </w:rPr>
        <w:t>Prozessuale Behandlung</w:t>
      </w:r>
    </w:p>
    <w:p>
      <w:pPr>
        <w:jc w:val="left"/>
      </w:pPr>
      <w:r>
        <w:t>Das Gericht prüft von Amts wegen, ob die Forderung erloschen ist. B muss die Aufrechnung substantiiert darlegen:</w:t>
      </w:r>
    </w:p>
    <w:p>
      <w:pPr>
        <w:pStyle w:val="ListBullet"/>
      </w:pPr>
      <w:r>
        <w:t>Gegenforderung aus Darlehensvertrag (Entstehung, Fälligkeit, Betrag);</w:t>
      </w:r>
    </w:p>
    <w:p>
      <w:pPr>
        <w:pStyle w:val="ListBullet"/>
      </w:pPr>
      <w:r>
        <w:t>Aufrechnungserklärung vom 10.04.2026;</w:t>
      </w:r>
    </w:p>
    <w:p>
      <w:pPr>
        <w:pStyle w:val="ListBullet"/>
      </w:pPr>
      <w:r>
        <w:t>Zugang der Erklärung bei A.</w:t>
      </w:r>
    </w:p>
    <w:p/>
    <w:p>
      <w:pPr>
        <w:pStyle w:val="Heading2"/>
      </w:pPr>
      <w:r>
        <w:rPr>
          <w:rFonts w:ascii="Times New Roman" w:hAnsi="Times New Roman"/>
        </w:rPr>
        <w:t>III. Hilfsweise prozessuale Aufrechnung (§ 322 Abs. 2 ZPO)</w:t>
      </w:r>
    </w:p>
    <w:p>
      <w:pPr>
        <w:pStyle w:val="Heading3"/>
      </w:pPr>
      <w:r>
        <w:rPr>
          <w:rFonts w:ascii="Times New Roman" w:hAnsi="Times New Roman"/>
        </w:rPr>
        <w:t>Konstellationen</w:t>
      </w:r>
    </w:p>
    <w:p>
      <w:pPr>
        <w:jc w:val="left"/>
      </w:pPr>
      <w:r>
        <w:t>Für den Fall, dass das Gericht die Aufrechnung vom 10.04.2026 nicht als wirksam anerkennt (z. B. wegen Formproblemen oder wegen des Streitstands zur Rückwirkung), kann B hilfsweise im Prozess aufrechnen.</w:t>
      </w:r>
    </w:p>
    <w:p>
      <w:pPr>
        <w:pStyle w:val="Heading3"/>
      </w:pPr>
      <w:r>
        <w:rPr>
          <w:rFonts w:ascii="Times New Roman" w:hAnsi="Times New Roman"/>
        </w:rPr>
        <w:t>§ 322 Abs. 2 ZPO — Rechtskraft der Entscheidung über die Gegenforderung</w:t>
      </w:r>
    </w:p>
    <w:p>
      <w:pPr>
        <w:ind w:left="567"/>
      </w:pPr>
      <w:r>
        <w:rPr>
          <w:i/>
        </w:rPr>
        <w:t>„Hat der Beklagte die Aufrechnung einer Gegenforderung geltend gemacht, so erstreckt sich die Rechtskraft des Urteils auf die Gegenforderung bis zur Höhe des Betrages, für den die Aufrechnung geltend gemacht ist."</w:t>
      </w:r>
    </w:p>
    <w:p>
      <w:pPr>
        <w:jc w:val="left"/>
      </w:pPr>
      <w:r>
        <w:rPr>
          <w:b/>
        </w:rPr>
        <w:t>Konsequenz:</w:t>
      </w:r>
      <w:r>
        <w:t xml:space="preserve"> Wird die Aufrechnung prozessual erklärt und entscheidet das Gericht darüber, dann erwächst auch die Entscheidung über die Gegenforderung (Darlehensforderung 2.200 Euro) in Rechtskraft. B kann diese Forderung nicht mehr anderweitig geltend machen.</w:t>
      </w:r>
    </w:p>
    <w:p>
      <w:pPr>
        <w:pStyle w:val="Heading3"/>
      </w:pPr>
      <w:r>
        <w:rPr>
          <w:rFonts w:ascii="Times New Roman" w:hAnsi="Times New Roman"/>
        </w:rPr>
        <w:t>Streitstand: Hilfsaufrechnung (bedingte Aufrechnung)</w:t>
      </w:r>
    </w:p>
    <w:p>
      <w:pPr>
        <w:jc w:val="left"/>
      </w:pPr>
      <w:r>
        <w:rPr>
          <w:b/>
        </w:rPr>
        <w:t>Problem:</w:t>
      </w:r>
      <w:r>
        <w:t xml:space="preserve"> § 388 S. 2 BGB verbietet bedingte Aufrechnungserklärungen. Kann B dennoch im Prozess hilfsweise aufrechnen (nur für den Fall, dass das Gericht seine primäre Einwendung ablehnt)?</w:t>
      </w:r>
    </w:p>
    <w:p>
      <w:pPr>
        <w:jc w:val="left"/>
      </w:pPr>
      <w:r>
        <w:rPr>
          <w:b/>
        </w:rPr>
        <w:t>h. M. (BGH, st. Rspr.; BGH NJW 2002, 2244; BGH NJW 2007, 2108; Palandt/Grüneberg, § 388 Rn. 4):</w:t>
      </w:r>
    </w:p>
    <w:p>
      <w:pPr>
        <w:jc w:val="left"/>
      </w:pPr>
      <w:r>
        <w:t>Die prozessuale Hilfsaufrechnung ist zulässig. Die materiell-rechtliche Bedingungsfeindlichkeit (§ 388 S. 2 BGB) gilt nicht für die prozessuale Erklärung als Prozesshandlung. Die Aufrechnungserklärung im Prozess ist als Eventualaufrechnung verfahrensrechtlich zulässig; die materielle Wirkung tritt dann ein, wenn und sobald das Gericht die Aufrechnung berücksichtigt.</w:t>
      </w:r>
    </w:p>
    <w:p>
      <w:pPr>
        <w:jc w:val="left"/>
      </w:pPr>
      <w:r>
        <w:rPr>
          <w:b/>
        </w:rPr>
        <w:t>Mindermeinung (Stein/Jonas/Leipold, ZPO, § 322 Rn. 80 ff.):</w:t>
      </w:r>
    </w:p>
    <w:p>
      <w:pPr>
        <w:jc w:val="left"/>
      </w:pPr>
      <w:r>
        <w:t>Die materiell-rechtliche Bedingungsfeindlichkeit des § 388 S. 2 BGB steht der prozessualen Hilfsaufrechnung entgegen. Die Aufrechnung müsse unbedingt sein; eine prozessuale Bedingtheit sei eine materiell-rechtliche Bedingung.</w:t>
      </w:r>
    </w:p>
    <w:p>
      <w:pPr>
        <w:jc w:val="left"/>
      </w:pPr>
      <w:r>
        <w:rPr>
          <w:b/>
        </w:rPr>
        <w:t>Stellungnahme (Pohlmann):</w:t>
      </w:r>
    </w:p>
    <w:p>
      <w:pPr>
        <w:jc w:val="left"/>
      </w:pPr>
      <w:r>
        <w:t>Der h. M. ist zu folgen. Das Prozessrecht kennt den Begriff der Eventualität (z. B. Hilfsantrag, § 260 ZPO). Die Hilfsaufrechnung ist eine anerkannte und praktisch unentbehrliche Prozessgestaltung. Die materiell-rechtliche Bedingungsfeindlichkeit schützt den Erklärungsempfänger vor Unklarheit — im Prozess ist für beide Parteien klar, unter welcher Bedingung die Aufrechnung wirkt. Eine Übertragung des § 388 S. 2 BGB auf die prozessuale Ebene ist daher nicht geboten.</w:t>
      </w:r>
    </w:p>
    <w:p/>
    <w:p>
      <w:pPr>
        <w:pStyle w:val="Heading2"/>
      </w:pPr>
      <w:r>
        <w:rPr>
          <w:rFonts w:ascii="Times New Roman" w:hAnsi="Times New Roman"/>
        </w:rPr>
        <w:t>IV. Prüfungsreihenfolge im Urteil (§ 322 Abs. 2 ZPO)</w:t>
      </w:r>
    </w:p>
    <w:p>
      <w:pPr>
        <w:jc w:val="left"/>
      </w:pPr>
      <w:r>
        <w:t>Das Gericht prüft im Prozess C ./. B:</w:t>
      </w:r>
    </w:p>
    <w:p>
      <w:pPr>
        <w:pStyle w:val="ListNumber"/>
      </w:pPr>
      <w:r>
        <w:t>Besteht die Klageforderung (Kaufpreisforderung C aus abgetretenem Recht)?</w:t>
      </w:r>
    </w:p>
    <w:p>
      <w:pPr>
        <w:pStyle w:val="ListNumber"/>
      </w:pPr>
      <w:r>
        <w:t>Ist die Klageforderung durch Aufrechnung (teilweise) erloschen?</w:t>
      </w:r>
    </w:p>
    <w:p>
      <w:pPr>
        <w:pStyle w:val="ListBullet"/>
      </w:pPr>
      <w:r>
        <w:t>Primäre Einwendung: § 404 BGB (Erlöschen durch vorprozessuale Aufrechnung)</w:t>
      </w:r>
    </w:p>
    <w:p>
      <w:pPr>
        <w:pStyle w:val="ListBullet"/>
      </w:pPr>
      <w:r>
        <w:t>Hilfsweise: Neue Aufrechnungserklärung im Prozess (§ 322 Abs. 2 ZPO)</w:t>
      </w:r>
    </w:p>
    <w:p>
      <w:pPr>
        <w:pStyle w:val="ListNumber"/>
      </w:pPr>
      <w:r>
        <w:t>Hat C die Forderung in voller Höhe (4.800 Euro) oder nur in Höhe des Rests (2.600 Euro)?</w:t>
      </w:r>
    </w:p>
    <w:p>
      <w:pPr>
        <w:pStyle w:val="ListNumber"/>
      </w:pPr>
      <w:r>
        <w:t>Kann B zudem Zug-um-Zug-Leistung (Mängelbeseitigung) einreden (§ 273 BGB)?</w:t>
      </w:r>
    </w:p>
    <w:p/>
    <w:p>
      <w:pPr>
        <w:pStyle w:val="Heading2"/>
      </w:pPr>
      <w:r>
        <w:rPr>
          <w:rFonts w:ascii="Times New Roman" w:hAnsi="Times New Roman"/>
        </w:rPr>
        <w:t>Ergebnis</w:t>
      </w:r>
    </w:p>
    <w:p>
      <w:pPr>
        <w:jc w:val="left"/>
      </w:pPr>
      <w:r>
        <w:t>Die prozessuale Aufrechnung des B ist zulässig und nach h. M. auch als Hilfsaufrechnung statthaft. Für die Gegenforderung (Darlehen 2.200 Euro) erwächst die Entscheidung des Gerichts in Rechtskraft (§ 322 Abs. 2 ZPO). Im vorliegenden Fall ist die Aufrechnung jedoch schon vor dem Prozess erklärt worden — das Gericht wendet § 404 BGB an.</w:t>
      </w:r>
    </w:p>
    <w:p/>
    <w:p>
      <w:pPr>
        <w:jc w:val="left"/>
      </w:pPr>
      <w:r>
        <w:rPr>
          <w:i/>
        </w:rPr>
        <w:t>Aktenstück 17 von 22 — Eingrenzung Aufrechnungslagen und prozessuale Dimensionen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