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Zeitwert, Bereicherungsrecht und § 818 Abs. 2 BGB als Alternative</w:t>
      </w:r>
    </w:p>
    <w:p>
      <w:pPr>
        <w:jc w:val="left"/>
      </w:pPr>
      <w:r>
        <w:rPr>
          <w:b/>
        </w:rPr>
        <w:t>Bearbeiter:</w:t>
      </w:r>
      <w:r>
        <w:t xml:space="preserve"> Konrad Pohlmann</w:t>
      </w:r>
    </w:p>
    <w:p>
      <w:pPr>
        <w:jc w:val="left"/>
      </w:pPr>
      <w:r>
        <w:rPr>
          <w:b/>
        </w:rPr>
        <w:t>Stand:</w:t>
      </w:r>
      <w:r>
        <w:t xml:space="preserve"> 02.05.2026</w:t>
      </w:r>
    </w:p>
    <w:p/>
    <w:p>
      <w:pPr>
        <w:pStyle w:val="Heading2"/>
      </w:pPr>
      <w:r>
        <w:rPr>
          <w:rFonts w:ascii="Times New Roman" w:hAnsi="Times New Roman"/>
        </w:rPr>
        <w:t>Vorbemerkung</w:t>
      </w:r>
    </w:p>
    <w:p>
      <w:pPr>
        <w:jc w:val="left"/>
      </w:pPr>
      <w:r>
        <w:t>Das folgende Aktenstück behandelt eine Randproblematik der Hausarbeit: Inwieweit kommen neben den vertraglichen Ansprüchen auch bereicherungsrechtliche Ansprüche in Betracht? Im vorliegenden Fall ist das Bereicherungsrecht nicht primär einschlägig — es kommt jedoch als subsidiärer Auffanganspruch in Betracht, wenn vertragliche Ansprüche ausgeschlossen sind. Prof. Wandersleben fragt gelegentlich nach dem Bereicherungsrecht als Hilfsprüfung.</w:t>
      </w:r>
    </w:p>
    <w:p/>
    <w:p>
      <w:pPr>
        <w:pStyle w:val="Heading2"/>
      </w:pPr>
      <w:r>
        <w:rPr>
          <w:rFonts w:ascii="Times New Roman" w:hAnsi="Times New Roman"/>
        </w:rPr>
        <w:t>I. Bereicherungsrechtlicher Anspruch bei unwirksamer Aufrechnung</w:t>
      </w:r>
    </w:p>
    <w:p>
      <w:pPr>
        <w:pStyle w:val="Heading3"/>
      </w:pPr>
      <w:r>
        <w:rPr>
          <w:rFonts w:ascii="Times New Roman" w:hAnsi="Times New Roman"/>
        </w:rPr>
        <w:t>Szenario</w:t>
      </w:r>
    </w:p>
    <w:p>
      <w:pPr>
        <w:jc w:val="left"/>
      </w:pPr>
      <w:r>
        <w:t>Wenn die Aufrechnung des B aus irgendeinem Grund unwirksam wäre (z. B. wegen fehlender Gegenseitigkeit nach Abtretung), und B trotzdem die Kaufpreiszahlung verweigert, könnte A einen Bereicherungsanspruch haben.</w:t>
      </w:r>
    </w:p>
    <w:p>
      <w:pPr>
        <w:pStyle w:val="Heading3"/>
      </w:pPr>
      <w:r>
        <w:rPr>
          <w:rFonts w:ascii="Times New Roman" w:hAnsi="Times New Roman"/>
        </w:rPr>
        <w:t>§ 812 Abs. 1 S. 1 Alt. 1 BGB (Leistungskondiktion)</w:t>
      </w:r>
    </w:p>
    <w:p>
      <w:pPr>
        <w:jc w:val="left"/>
      </w:pPr>
      <w:r>
        <w:t>```</w:t>
      </w:r>
    </w:p>
    <w:p>
      <w:pPr>
        <w:jc w:val="left"/>
      </w:pPr>
      <w:r>
        <w:t>§ 812 Abs. 1 S. 1 Alt. 1 BGB (Leistungskondiktion):</w:t>
      </w:r>
    </w:p>
    <w:p>
      <w:pPr>
        <w:jc w:val="left"/>
      </w:pPr>
      <w:r>
        <w:t>"Wer durch die Leistung eines anderen etwas ohne rechtlichen Grund erlangt,</w:t>
      </w:r>
    </w:p>
    <w:p>
      <w:pPr>
        <w:jc w:val="left"/>
      </w:pPr>
      <w:r>
        <w:t>ist ihm zur Herausgabe verpflichtet."</w:t>
      </w:r>
    </w:p>
    <w:p>
      <w:pPr>
        <w:jc w:val="left"/>
      </w:pPr>
      <w:r>
        <w:t>```</w:t>
      </w:r>
    </w:p>
    <w:p>
      <w:pPr>
        <w:jc w:val="left"/>
      </w:pPr>
      <w:r>
        <w:t>Anwendung: Wenn A das Gemälde übergeben hat und der Kaufvertrag (als causa) wegfällt, kann A das Gemälde zurückverlangen. Im vorliegenden Fall ist der Kaufvertrag jedoch wirksam — Bereicherungsrecht ist subsidiär und tritt hinter vertragliche Ansprüche zurück.</w:t>
      </w:r>
    </w:p>
    <w:p/>
    <w:p>
      <w:pPr>
        <w:pStyle w:val="Heading2"/>
      </w:pPr>
      <w:r>
        <w:rPr>
          <w:rFonts w:ascii="Times New Roman" w:hAnsi="Times New Roman"/>
        </w:rPr>
        <w:t>II. § 818 Abs. 2 BGB — Wertersatz statt Herausgabe</w:t>
      </w:r>
    </w:p>
    <w:p>
      <w:pPr>
        <w:pStyle w:val="Heading3"/>
      </w:pPr>
      <w:r>
        <w:rPr>
          <w:rFonts w:ascii="Times New Roman" w:hAnsi="Times New Roman"/>
        </w:rPr>
        <w:t>Normtext</w:t>
      </w:r>
    </w:p>
    <w:p>
      <w:pPr>
        <w:ind w:left="567"/>
      </w:pPr>
      <w:r>
        <w:rPr>
          <w:i/>
        </w:rPr>
        <w:t>§ 818 Abs. 2 BGB: „Ist die Herausgabe wegen der Beschaffenheit des Erlangten nicht möglich oder ist der Empfänger aus einem anderen Grunde zur Herausgabe außerstande, so hat er den Wert zu ersetzen."</w:t>
      </w:r>
    </w:p>
    <w:p>
      <w:pPr>
        <w:pStyle w:val="Heading3"/>
      </w:pPr>
      <w:r>
        <w:rPr>
          <w:rFonts w:ascii="Times New Roman" w:hAnsi="Times New Roman"/>
        </w:rPr>
        <w:t>Relevanz</w:t>
      </w:r>
    </w:p>
    <w:p>
      <w:pPr>
        <w:jc w:val="left"/>
      </w:pPr>
      <w:r>
        <w:t>§ 818 Abs. 2 BGB ist relevant, wenn:</w:t>
      </w:r>
    </w:p>
    <w:p>
      <w:pPr>
        <w:pStyle w:val="ListBullet"/>
      </w:pPr>
      <w:r>
        <w:t>B das Gemälde nicht mehr herausgeben kann (Untergang, Veräußerung, Verarbeitung);</w:t>
      </w:r>
    </w:p>
    <w:p>
      <w:pPr>
        <w:pStyle w:val="ListBullet"/>
      </w:pPr>
      <w:r>
        <w:t>B trotzdem einen Vermögensvorteil erlangt hat.</w:t>
      </w:r>
    </w:p>
    <w:p>
      <w:pPr>
        <w:jc w:val="left"/>
      </w:pPr>
      <w:r>
        <w:t>Im vorliegenden Fall ist die Herausgabe des Gemäldes (noch) möglich — § 818 Abs. 2 BGB wäre nur Hilfsprüfung.</w:t>
      </w:r>
    </w:p>
    <w:p>
      <w:pPr>
        <w:pStyle w:val="Heading3"/>
      </w:pPr>
      <w:r>
        <w:rPr>
          <w:rFonts w:ascii="Times New Roman" w:hAnsi="Times New Roman"/>
        </w:rPr>
        <w:t>Streitstand: Zeitwert als Maßstab?</w:t>
      </w:r>
    </w:p>
    <w:p>
      <w:pPr>
        <w:jc w:val="left"/>
      </w:pPr>
      <w:r>
        <w:t>Bei der Bemessung des Wertersatzes nach § 818 Abs. 2 BGB ist umstritten, welcher Zeitpunkt für die Wertermittlung maßgeblich ist.</w:t>
      </w:r>
    </w:p>
    <w:p>
      <w:pPr>
        <w:jc w:val="left"/>
      </w:pPr>
      <w:r>
        <w:rPr>
          <w:b/>
        </w:rPr>
        <w:t>h. M.:</w:t>
      </w:r>
      <w:r>
        <w:t xml:space="preserve"> Maßgeblich ist der Zeitwert im Zeitpunkt des Bereicherungseintritts (BGH NJW 1999, 1259; Palandt/Sprau, § 818 Rn. 15). Das heißt: Was war das Gemälde wert, als B es erhielt?</w:t>
      </w:r>
    </w:p>
    <w:p>
      <w:pPr>
        <w:jc w:val="left"/>
      </w:pPr>
      <w:r>
        <w:rPr>
          <w:b/>
        </w:rPr>
        <w:t>Mindermeinung:</w:t>
      </w:r>
      <w:r>
        <w:t xml:space="preserve"> Maßgeblich ist der Zeitwert im Zeitpunkt der Bereicherungsklage (MüKo/Lieb, § 818 Rn. 30 ff.), um Wertveränderungen zugunsten des Gläubigers zu berücksichtigen.</w:t>
      </w:r>
    </w:p>
    <w:p>
      <w:pPr>
        <w:jc w:val="left"/>
      </w:pPr>
      <w:r>
        <w:rPr>
          <w:b/>
        </w:rPr>
        <w:t>Anwendung:</w:t>
      </w:r>
      <w:r>
        <w:t xml:space="preserve"> Die Vermeer-Replik hatte bei Übergabe einen Marktwert von ca. 4.800 Euro (Kaufpreis als Indiz). Bei Übergabe mit Mangel: ca. 4.000–4.300 Euro (geschätzt). Im Bereicherungsrecht wäre der tatsächliche Wert der mangelhaften Sache anzusetzen.</w:t>
      </w:r>
    </w:p>
    <w:p/>
    <w:p>
      <w:pPr>
        <w:pStyle w:val="Heading2"/>
      </w:pPr>
      <w:r>
        <w:rPr>
          <w:rFonts w:ascii="Times New Roman" w:hAnsi="Times New Roman"/>
        </w:rPr>
        <w:t>III. § 818 Abs. 3 BGB — Wegfall der Bereicherung</w:t>
      </w:r>
    </w:p>
    <w:p>
      <w:pPr>
        <w:pStyle w:val="Heading3"/>
      </w:pPr>
      <w:r>
        <w:rPr>
          <w:rFonts w:ascii="Times New Roman" w:hAnsi="Times New Roman"/>
        </w:rPr>
        <w:t>Normtext</w:t>
      </w:r>
    </w:p>
    <w:p>
      <w:pPr>
        <w:ind w:left="567"/>
      </w:pPr>
      <w:r>
        <w:rPr>
          <w:i/>
        </w:rPr>
        <w:t>§ 818 Abs. 3 BGB: „Die Verpflichtung zur Herausgabe oder zum Ersatz des Wertes ist ausgeschlossen, soweit der Empfänger nicht mehr bereichert ist."</w:t>
      </w:r>
    </w:p>
    <w:p>
      <w:pPr>
        <w:pStyle w:val="Heading3"/>
      </w:pPr>
      <w:r>
        <w:rPr>
          <w:rFonts w:ascii="Times New Roman" w:hAnsi="Times New Roman"/>
        </w:rPr>
        <w:t>Anwendung</w:t>
      </w:r>
    </w:p>
    <w:p>
      <w:pPr>
        <w:jc w:val="left"/>
      </w:pPr>
      <w:r>
        <w:t>B ist noch bereichert durch den Besitz des Gemäldes. § 818 Abs. 3 BGB wäre nur relevant, wenn B das Gemälde nicht mehr hat oder wenn sein Vermögen durch den Empfang des Gemäldes nicht (mehr) angewachsen ist.</w:t>
      </w:r>
    </w:p>
    <w:p>
      <w:pPr>
        <w:jc w:val="left"/>
      </w:pPr>
      <w:r>
        <w:t>Da der Sachverhalt keinen entsprechenden Sachverhalt enthält, ist § 818 Abs. 3 BGB hier nicht einschlägig.</w:t>
      </w:r>
    </w:p>
    <w:p/>
    <w:p>
      <w:pPr>
        <w:pStyle w:val="Heading2"/>
      </w:pPr>
      <w:r>
        <w:rPr>
          <w:rFonts w:ascii="Times New Roman" w:hAnsi="Times New Roman"/>
        </w:rPr>
        <w:t>IV. Bereicherungsrecht bei Rücktritt</w:t>
      </w:r>
    </w:p>
    <w:p>
      <w:pPr>
        <w:jc w:val="left"/>
      </w:pPr>
      <w:r>
        <w:t>Wenn B vom Kaufvertrag zurücktritt, regeln §§ 346 ff. BGB die Rückabwicklung. Diese bilden eine Spezialregelung gegenüber dem Bereicherungsrecht und verdrängen §§ 812 ff. BGB im Rahmen der vertraglichen Rückabwicklung (BGH NJW 1993, 2436; BGH NJW 2010, 2186).</w:t>
      </w:r>
    </w:p>
    <w:p>
      <w:pPr>
        <w:jc w:val="left"/>
      </w:pPr>
      <w:r>
        <w:t xml:space="preserve">Das Bereicherungsrecht findet daher nach Rücktritt </w:t>
      </w:r>
      <w:r>
        <w:rPr>
          <w:b/>
        </w:rPr>
        <w:t>keine</w:t>
      </w:r>
      <w:r>
        <w:t xml:space="preserve"> Anwendung — es sei denn, die Regelungen der §§ 346 ff. BGB greifen ausnahmsweise nicht.</w:t>
      </w:r>
    </w:p>
    <w:p/>
    <w:p>
      <w:pPr>
        <w:pStyle w:val="Heading2"/>
      </w:pPr>
      <w:r>
        <w:rPr>
          <w:rFonts w:ascii="Times New Roman" w:hAnsi="Times New Roman"/>
        </w:rPr>
        <w:t>V. Zusammenfassung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Bereicherungsanspruch bei wirksamen Vertrag</w:t>
            </w:r>
          </w:p>
        </w:tc>
        <w:tc>
          <w:tcPr>
            <w:tcW w:type="dxa" w:w="4536"/>
          </w:tcPr>
          <w:p>
            <w:r>
              <w:rPr>
                <w:rFonts w:ascii="Times New Roman" w:hAnsi="Times New Roman"/>
                <w:sz w:val="20"/>
              </w:rPr>
              <w:t>(-) — vertragliche Ansprüche gehen vor</w:t>
            </w:r>
          </w:p>
        </w:tc>
      </w:tr>
      <w:tr>
        <w:tc>
          <w:tcPr>
            <w:tcW w:type="dxa" w:w="4536"/>
          </w:tcPr>
          <w:p>
            <w:r>
              <w:rPr>
                <w:rFonts w:ascii="Times New Roman" w:hAnsi="Times New Roman"/>
                <w:sz w:val="20"/>
              </w:rPr>
              <w:t>§ 818 Abs. 2 BGB — Wertersatz</w:t>
            </w:r>
          </w:p>
        </w:tc>
        <w:tc>
          <w:tcPr>
            <w:tcW w:type="dxa" w:w="4536"/>
          </w:tcPr>
          <w:p>
            <w:r>
              <w:rPr>
                <w:rFonts w:ascii="Times New Roman" w:hAnsi="Times New Roman"/>
                <w:sz w:val="20"/>
              </w:rPr>
              <w:t>Nur wenn Herausgabe unmöglich; hier nicht einschlägig</w:t>
            </w:r>
          </w:p>
        </w:tc>
      </w:tr>
      <w:tr>
        <w:tc>
          <w:tcPr>
            <w:tcW w:type="dxa" w:w="4536"/>
          </w:tcPr>
          <w:p>
            <w:r>
              <w:rPr>
                <w:rFonts w:ascii="Times New Roman" w:hAnsi="Times New Roman"/>
                <w:sz w:val="20"/>
              </w:rPr>
              <w:t>§ 818 Abs. 3 BGB — Wegfall</w:t>
            </w:r>
          </w:p>
        </w:tc>
        <w:tc>
          <w:tcPr>
            <w:tcW w:type="dxa" w:w="4536"/>
          </w:tcPr>
          <w:p>
            <w:r>
              <w:rPr>
                <w:rFonts w:ascii="Times New Roman" w:hAnsi="Times New Roman"/>
                <w:sz w:val="20"/>
              </w:rPr>
              <w:t>Nicht einschlägig (B noch bereichert)</w:t>
            </w:r>
          </w:p>
        </w:tc>
      </w:tr>
      <w:tr>
        <w:tc>
          <w:tcPr>
            <w:tcW w:type="dxa" w:w="4536"/>
          </w:tcPr>
          <w:p>
            <w:r>
              <w:rPr>
                <w:rFonts w:ascii="Times New Roman" w:hAnsi="Times New Roman"/>
                <w:sz w:val="20"/>
              </w:rPr>
              <w:t>Bereicherungsrecht nach Rücktritt</w:t>
            </w:r>
          </w:p>
        </w:tc>
        <w:tc>
          <w:tcPr>
            <w:tcW w:type="dxa" w:w="4536"/>
          </w:tcPr>
          <w:p>
            <w:r>
              <w:rPr>
                <w:rFonts w:ascii="Times New Roman" w:hAnsi="Times New Roman"/>
                <w:sz w:val="20"/>
              </w:rPr>
              <w:t>(-) — §§ 346 ff. BGB als Spezialregelung</w:t>
            </w:r>
          </w:p>
        </w:tc>
      </w:tr>
      <w:tr>
        <w:tc>
          <w:tcPr>
            <w:tcW w:type="dxa" w:w="4536"/>
          </w:tcPr>
          <w:p>
            <w:r>
              <w:rPr>
                <w:rFonts w:ascii="Times New Roman" w:hAnsi="Times New Roman"/>
                <w:sz w:val="20"/>
              </w:rPr>
              <w:t>Streitstand Zeitwert-Maßstab</w:t>
            </w:r>
          </w:p>
        </w:tc>
        <w:tc>
          <w:tcPr>
            <w:tcW w:type="dxa" w:w="4536"/>
          </w:tcPr>
          <w:p>
            <w:r>
              <w:rPr>
                <w:rFonts w:ascii="Times New Roman" w:hAnsi="Times New Roman"/>
                <w:sz w:val="20"/>
              </w:rPr>
              <w:t>h. M.: Zeitpunkt Bereicherungseintritt</w:t>
            </w:r>
          </w:p>
        </w:tc>
      </w:tr>
    </w:tbl>
    <w:p/>
    <w:p>
      <w:pPr>
        <w:jc w:val="left"/>
      </w:pPr>
      <w:r>
        <w:rPr>
          <w:i/>
        </w:rPr>
        <w:t>Aktenstück 18 von 22 — Zeitwert, Bereicherungsrecht § 818 Abs. 2 BGB als Alternative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