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— Korrekturlauf und redaktionelle Glättung (v1 → v3)</w:t>
      </w:r>
    </w:p>
    <w:p>
      <w:pPr>
        <w:jc w:val="left"/>
      </w:pPr>
      <w:r>
        <w:rPr>
          <w:b/>
        </w:rPr>
        <w:t>Bearbeiter:</w:t>
      </w:r>
      <w:r>
        <w:t xml:space="preserve"> Konrad Pohlmann</w:t>
      </w:r>
    </w:p>
    <w:p>
      <w:pPr>
        <w:jc w:val="left"/>
      </w:pPr>
      <w:r>
        <w:rPr>
          <w:b/>
        </w:rPr>
        <w:t>Stand:</w:t>
      </w:r>
      <w:r>
        <w:t xml:space="preserve"> 28.05.2026 (nach Erstentwurf und zweitem Korrekturdurchlauf)</w:t>
      </w:r>
    </w:p>
    <w:p/>
    <w:p>
      <w:pPr>
        <w:pStyle w:val="Heading2"/>
      </w:pPr>
      <w:r>
        <w:rPr>
          <w:rFonts w:ascii="Times New Roman" w:hAnsi="Times New Roman"/>
        </w:rPr>
        <w:t>Überblick der Versionen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Version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 Seiten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Erstentwurf — zu lang, viele Stilfehler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27 Seiten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 erstem Korrekturlauf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 Seiten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Endfassung nach redaktioneller Glättung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I. Probleme in v1 (Erstentwurf)</w:t>
      </w:r>
    </w:p>
    <w:p>
      <w:pPr>
        <w:pStyle w:val="Heading3"/>
      </w:pPr>
      <w:r>
        <w:rPr>
          <w:rFonts w:ascii="Times New Roman" w:hAnsi="Times New Roman"/>
        </w:rPr>
        <w:t>1. Seitenüberschreitung</w:t>
      </w:r>
    </w:p>
    <w:p>
      <w:pPr>
        <w:jc w:val="left"/>
      </w:pPr>
      <w:r>
        <w:t>v1 hatte 31 Seiten. Die Vorgabe ist 25–30 Seiten. Ich habe folgende Kürzungen vorgenommen:</w:t>
      </w:r>
    </w:p>
    <w:p>
      <w:pPr>
        <w:pStyle w:val="ListBullet"/>
      </w:pPr>
      <w:r>
        <w:t>Abschnitt zu § 818 BGB (Bereicherungsrecht) von 3 auf 1 Seite gekürzt — keine Kernfrage der Aufgabe.</w:t>
      </w:r>
    </w:p>
    <w:p>
      <w:pPr>
        <w:pStyle w:val="ListBullet"/>
      </w:pPr>
      <w:r>
        <w:t>Einleitung um 1 Seite gekürzt — keine Sachverhaltswiederholung im Gutachten nötig.</w:t>
      </w:r>
    </w:p>
    <w:p>
      <w:pPr>
        <w:pStyle w:val="ListBullet"/>
      </w:pPr>
      <w:r>
        <w:t>Gefahrübergang (§§ 446, 447 BGB) von 2 auf 1 Seite gekürzt — unproblematisch.</w:t>
      </w:r>
    </w:p>
    <w:p>
      <w:pPr>
        <w:pStyle w:val="Heading3"/>
      </w:pPr>
      <w:r>
        <w:rPr>
          <w:rFonts w:ascii="Times New Roman" w:hAnsi="Times New Roman"/>
        </w:rPr>
        <w:t>2. Stilfehler (Urteilsstil im Text)</w:t>
      </w:r>
    </w:p>
    <w:p>
      <w:pPr>
        <w:jc w:val="left"/>
      </w:pPr>
      <w:r>
        <w:t>Mehrfach fanden sich Formulierungen wie:</w:t>
      </w:r>
    </w:p>
    <w:p>
      <w:pPr>
        <w:pStyle w:val="ListBullet"/>
      </w:pPr>
      <w:r>
        <w:t>❌ „B kann vom Vertrag zurücktreten, da A die Nachbesserung verweigert hat."</w:t>
      </w:r>
    </w:p>
    <w:p>
      <w:pPr>
        <w:pStyle w:val="ListBullet"/>
      </w:pPr>
      <w:r>
        <w:t>✅ „Fraglich ist, ob B das Recht zum Rücktritt hat. Gemäß §§ 437 Nr. 2, 323 BGB setzt der Rücktritt voraus, dass ... Im vorliegenden Fall ... Somit steht B das Rücktrittsrecht zu."</w:t>
      </w:r>
    </w:p>
    <w:p>
      <w:pPr>
        <w:jc w:val="left"/>
      </w:pPr>
      <w:r>
        <w:t>Alle Urteilsstil-Passagen im Fließtext wurden auf Gutachtenstil umgeschrieben.</w:t>
      </w:r>
    </w:p>
    <w:p>
      <w:pPr>
        <w:pStyle w:val="Heading3"/>
      </w:pPr>
      <w:r>
        <w:rPr>
          <w:rFonts w:ascii="Times New Roman" w:hAnsi="Times New Roman"/>
        </w:rPr>
        <w:t>3. Fehlende Streitstandsnachweise</w:t>
      </w:r>
    </w:p>
    <w:p>
      <w:pPr>
        <w:jc w:val="left"/>
      </w:pPr>
      <w:r>
        <w:t>In v1 fehlten bei drei Streitständen die Belege für die Mindermeinung:</w:t>
      </w:r>
    </w:p>
    <w:p>
      <w:pPr>
        <w:pStyle w:val="ListBullet"/>
      </w:pPr>
      <w:r>
        <w:t>§ 389 BGB Rückwirkung: Staudinger/Gursky als Mindermeinung ergänzt.</w:t>
      </w:r>
    </w:p>
    <w:p>
      <w:pPr>
        <w:pStyle w:val="ListBullet"/>
      </w:pPr>
      <w:r>
        <w:t>§ 323 Abs. 5 S. 2 BGB Erheblichkeit: Lorenz NJW 2006, 1175 ergänzt.</w:t>
      </w:r>
    </w:p>
    <w:p>
      <w:pPr>
        <w:pStyle w:val="ListBullet"/>
      </w:pPr>
      <w:r>
        <w:t>§ 322 Abs. 2 ZPO Hilfsaufrechnung: Stein/Jonas/Leipold als Mindermeinung ergänzt.</w:t>
      </w:r>
    </w:p>
    <w:p>
      <w:pPr>
        <w:pStyle w:val="Heading3"/>
      </w:pPr>
      <w:r>
        <w:rPr>
          <w:rFonts w:ascii="Times New Roman" w:hAnsi="Times New Roman"/>
        </w:rPr>
        <w:t>4. Zitierweise-Fehler</w:t>
      </w:r>
    </w:p>
    <w:p>
      <w:pPr>
        <w:pStyle w:val="ListBullet"/>
      </w:pPr>
      <w:r>
        <w:t>❌ BeckRS 2019, 28441 — gestrichen, durch NJW-Fundstelle ersetzt.</w:t>
      </w:r>
    </w:p>
    <w:p>
      <w:pPr>
        <w:pStyle w:val="ListBullet"/>
      </w:pPr>
      <w:r>
        <w:t>❌ „vgl. dejure.org, § 387 BGB" — korrekte Zitierform ergänzt.</w:t>
      </w:r>
    </w:p>
    <w:p>
      <w:pPr>
        <w:pStyle w:val="ListBullet"/>
      </w:pPr>
      <w:r>
        <w:t>❌ „NJW 14, 2780" → ✅ „NJW 2014, 2780".</w:t>
      </w:r>
    </w:p>
    <w:p>
      <w:pPr>
        <w:pStyle w:val="Heading3"/>
      </w:pPr>
      <w:r>
        <w:rPr>
          <w:rFonts w:ascii="Times New Roman" w:hAnsi="Times New Roman"/>
        </w:rPr>
        <w:t>5. Gliederungsfehler</w:t>
      </w:r>
    </w:p>
    <w:p>
      <w:pPr>
        <w:jc w:val="left"/>
      </w:pPr>
      <w:r>
        <w:t>In v1 war die Gliederung nicht vollständig konsistent. Korrigierte Struktur:</w:t>
      </w:r>
    </w:p>
    <w:p>
      <w:pPr>
        <w:pStyle w:val="ListBullet"/>
      </w:pPr>
      <w:r>
        <w:t>Alle Hauptpunkte mit Großbuchstaben (A., B., C.)</w:t>
      </w:r>
    </w:p>
    <w:p>
      <w:pPr>
        <w:pStyle w:val="ListBullet"/>
      </w:pPr>
      <w:r>
        <w:t>Unterpunkte: I., II., III. dann 1., 2., 3. dann a), b), c) dann aa), bb)</w:t>
      </w:r>
    </w:p>
    <w:p>
      <w:pPr>
        <w:pStyle w:val="ListBullet"/>
      </w:pPr>
      <w:r>
        <w:t>Keine Sprünge in der Hierarchie</w:t>
      </w:r>
    </w:p>
    <w:p/>
    <w:p>
      <w:pPr>
        <w:pStyle w:val="Heading2"/>
      </w:pPr>
      <w:r>
        <w:rPr>
          <w:rFonts w:ascii="Times New Roman" w:hAnsi="Times New Roman"/>
        </w:rPr>
        <w:t>II. Checkliste Korrekturlauf v2 → v3</w:t>
      </w:r>
    </w:p>
    <w:p>
      <w:pPr>
        <w:pStyle w:val="Heading3"/>
      </w:pPr>
      <w:r>
        <w:rPr>
          <w:rFonts w:ascii="Times New Roman" w:hAnsi="Times New Roman"/>
        </w:rPr>
        <w:t>Inhaltliche Punkte</w:t>
      </w:r>
    </w:p>
    <w:p>
      <w:pPr>
        <w:pStyle w:val="ListBullet"/>
      </w:pPr>
      <w:r>
        <w:t>[x] Alle Prüfungspunkte der Aufgabe abgedeckt?</w:t>
      </w:r>
    </w:p>
    <w:p>
      <w:pPr>
        <w:pStyle w:val="ListBullet"/>
      </w:pPr>
      <w:r>
        <w:t>[x] Ansprüche A gegen B (§ 433, §§ 280, 286)</w:t>
      </w:r>
    </w:p>
    <w:p>
      <w:pPr>
        <w:pStyle w:val="ListBullet"/>
      </w:pPr>
      <w:r>
        <w:t>[x] Aufrechnung (§§ 387–389)</w:t>
      </w:r>
    </w:p>
    <w:p>
      <w:pPr>
        <w:pStyle w:val="ListBullet"/>
      </w:pPr>
      <w:r>
        <w:t>[x] Mängelrechte B (§§ 434, 437, 439, 323, 281)</w:t>
      </w:r>
    </w:p>
    <w:p>
      <w:pPr>
        <w:pStyle w:val="ListBullet"/>
      </w:pPr>
      <w:r>
        <w:t>[x] Abtretung A an C (§ 398)</w:t>
      </w:r>
    </w:p>
    <w:p>
      <w:pPr>
        <w:pStyle w:val="ListBullet"/>
      </w:pPr>
      <w:r>
        <w:t>[x] Einwendungen B gegen C (§ 404)</w:t>
      </w:r>
    </w:p>
    <w:p>
      <w:pPr>
        <w:pStyle w:val="ListBullet"/>
      </w:pPr>
      <w:r>
        <w:t>[x] Aufrechnung nach Abtretung (§ 406)</w:t>
      </w:r>
    </w:p>
    <w:p>
      <w:pPr>
        <w:pStyle w:val="ListBullet"/>
      </w:pPr>
      <w:r>
        <w:t>[x] Prozessuale Aufrechnung (§ 322 Abs. 2 ZPO)</w:t>
      </w:r>
    </w:p>
    <w:p>
      <w:pPr>
        <w:pStyle w:val="ListBullet"/>
      </w:pPr>
      <w:r>
        <w:t>[x] Streitstände vollständig mit h. M., Mindermeinung, Stellungnahme?</w:t>
      </w:r>
    </w:p>
    <w:p>
      <w:pPr>
        <w:pStyle w:val="ListBullet"/>
      </w:pPr>
      <w:r>
        <w:t>[x] § 389 BGB Rückwirkung</w:t>
      </w:r>
    </w:p>
    <w:p>
      <w:pPr>
        <w:pStyle w:val="ListBullet"/>
      </w:pPr>
      <w:r>
        <w:t>[x] § 323 Abs. 5 S. 2 BGB Erheblichkeit</w:t>
      </w:r>
    </w:p>
    <w:p>
      <w:pPr>
        <w:pStyle w:val="ListBullet"/>
      </w:pPr>
      <w:r>
        <w:t>[x] § 322 Abs. 2 ZPO Hilfsaufrechnung</w:t>
      </w:r>
    </w:p>
    <w:p>
      <w:pPr>
        <w:pStyle w:val="ListBullet"/>
      </w:pPr>
      <w:r>
        <w:t>[x] Vertretenmüssen bei berechtigter Aufrechnung (§ 286 Abs. 4)</w:t>
      </w:r>
    </w:p>
    <w:p>
      <w:pPr>
        <w:pStyle w:val="Heading3"/>
      </w:pPr>
      <w:r>
        <w:rPr>
          <w:rFonts w:ascii="Times New Roman" w:hAnsi="Times New Roman"/>
        </w:rPr>
        <w:t>Formale Punkte</w:t>
      </w:r>
    </w:p>
    <w:p>
      <w:pPr>
        <w:pStyle w:val="ListBullet"/>
      </w:pPr>
      <w:r>
        <w:t>[x] Schriftgröße 12 pt, Times New Roman, 1,5-facher Zeilenabstand</w:t>
      </w:r>
    </w:p>
    <w:p>
      <w:pPr>
        <w:pStyle w:val="ListBullet"/>
      </w:pPr>
      <w:r>
        <w:t>[x] Seitenzahl 26 — innerhalb 25–30 ✓</w:t>
      </w:r>
    </w:p>
    <w:p>
      <w:pPr>
        <w:pStyle w:val="ListBullet"/>
      </w:pPr>
      <w:r>
        <w:t>[x] Deckblatt: Name, Matrikelnummer, Veranstaltung, Semester, Abgabedatum ✓</w:t>
      </w:r>
    </w:p>
    <w:p>
      <w:pPr>
        <w:pStyle w:val="ListBullet"/>
      </w:pPr>
      <w:r>
        <w:t>[x] Gliederungsverzeichnis am Anfang ✓</w:t>
      </w:r>
    </w:p>
    <w:p>
      <w:pPr>
        <w:pStyle w:val="ListBullet"/>
      </w:pPr>
      <w:r>
        <w:t>[x] Literaturverzeichnis am Ende ✓</w:t>
      </w:r>
    </w:p>
    <w:p>
      <w:pPr>
        <w:pStyle w:val="ListBullet"/>
      </w:pPr>
      <w:r>
        <w:t>[x] Fußnoten Times New Roman 10 pt, einzeilig ✓</w:t>
      </w:r>
    </w:p>
    <w:p>
      <w:pPr>
        <w:pStyle w:val="ListBullet"/>
      </w:pPr>
      <w:r>
        <w:t>[x] Fußnoten nach dem Satzzeichen ✓</w:t>
      </w:r>
    </w:p>
    <w:p>
      <w:pPr>
        <w:pStyle w:val="ListBullet"/>
      </w:pPr>
      <w:r>
        <w:t>[x] Keine BeckRS-Zitate ✓</w:t>
      </w:r>
    </w:p>
    <w:p>
      <w:pPr>
        <w:pStyle w:val="ListBullet"/>
      </w:pPr>
      <w:r>
        <w:t>[x] Seitennummerierung ab Seite 1 (Gliederung nicht nummeriert) ✓</w:t>
      </w:r>
    </w:p>
    <w:p>
      <w:pPr>
        <w:pStyle w:val="Heading3"/>
      </w:pPr>
      <w:r>
        <w:rPr>
          <w:rFonts w:ascii="Times New Roman" w:hAnsi="Times New Roman"/>
        </w:rPr>
        <w:t>Sprache und Stil</w:t>
      </w:r>
    </w:p>
    <w:p>
      <w:pPr>
        <w:pStyle w:val="ListBullet"/>
      </w:pPr>
      <w:r>
        <w:t>[x] Keine Umgangssprache</w:t>
      </w:r>
    </w:p>
    <w:p>
      <w:pPr>
        <w:pStyle w:val="ListBullet"/>
      </w:pPr>
      <w:r>
        <w:t>[x] Konsequent Gutachtenstil</w:t>
      </w:r>
    </w:p>
    <w:p>
      <w:pPr>
        <w:pStyle w:val="ListBullet"/>
      </w:pPr>
      <w:r>
        <w:t>[x] Keine Tippfehler (Word-Rechtschreibprüfung + manuelle Durchsicht)</w:t>
      </w:r>
    </w:p>
    <w:p>
      <w:pPr>
        <w:pStyle w:val="ListBullet"/>
      </w:pPr>
      <w:r>
        <w:t>[x] Lateinische Ausdrücke (ex tunc, casus a nullo praestatur) korrekt verwendet</w:t>
      </w:r>
    </w:p>
    <w:p/>
    <w:p>
      <w:pPr>
        <w:pStyle w:val="Heading2"/>
      </w:pPr>
      <w:r>
        <w:rPr>
          <w:rFonts w:ascii="Times New Roman" w:hAnsi="Times New Roman"/>
        </w:rPr>
        <w:t>III. Offene Punkte vor Abgabe</w:t>
      </w:r>
    </w:p>
    <w:p>
      <w:pPr>
        <w:pStyle w:val="ListNumber"/>
      </w:pPr>
      <w:r>
        <w:t>Ausdrucken und Seitenzahl physisch zählen (nicht nur Word-Anzeige).</w:t>
      </w:r>
    </w:p>
    <w:p>
      <w:pPr>
        <w:pStyle w:val="ListNumber"/>
      </w:pPr>
      <w:r>
        <w:t>Klebebindung (Spiralbindung nicht erlaubt laut Aushang).</w:t>
      </w:r>
    </w:p>
    <w:p>
      <w:pPr>
        <w:pStyle w:val="ListNumber"/>
      </w:pPr>
      <w:r>
        <w:t>Deckblatt prüfen: Hat Prof. Wandersleben eine Formvorlage? → Im Lehrstuhl nachfragen.</w:t>
      </w:r>
    </w:p>
    <w:p>
      <w:pPr>
        <w:pStyle w:val="ListNumber"/>
      </w:pPr>
      <w:r>
        <w:t>Abgabe 05.06.2026, 12:00 Uhr — Einwurf Briefkasten Juristenfakultät.</w:t>
      </w:r>
    </w:p>
    <w:p/>
    <w:p>
      <w:pPr>
        <w:pStyle w:val="Heading2"/>
      </w:pPr>
      <w:r>
        <w:rPr>
          <w:rFonts w:ascii="Times New Roman" w:hAnsi="Times New Roman"/>
        </w:rPr>
        <w:t>IV. Selbstbewertung nach Abschluss</w:t>
      </w:r>
    </w:p>
    <w:p>
      <w:pPr>
        <w:jc w:val="left"/>
      </w:pPr>
      <w:r>
        <w:t xml:space="preserve">Ich schätze die Hausarbeit nach aktuellem Stand auf eine </w:t>
      </w:r>
      <w:r>
        <w:rPr>
          <w:b/>
        </w:rPr>
        <w:t>"befriedigend bis gut"</w:t>
      </w:r>
      <w:r>
        <w:t xml:space="preserve"> (8–11 Punkte). Die prozessuale Aufrechnung ist möglicherweise nicht vollständig — das ist mein schwächstes Kapitel. Die Streitstandsdarstellungen zu §§ 389 und 323 Abs. 5 BGB sind hingegen solide ausgearbeitet.</w:t>
      </w:r>
    </w:p>
    <w:p/>
    <w:p>
      <w:pPr>
        <w:jc w:val="left"/>
      </w:pPr>
      <w:r>
        <w:rPr>
          <w:i/>
        </w:rPr>
        <w:t>Aktenstück 20 von 22 — Korrekturlauf und redaktionelle Glättung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