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Prüfer-Erwartungen: Prof. Dr. Wandersleben — Zitierfreude und Bewertungsmaßstab</w:t>
      </w:r>
    </w:p>
    <w:p>
      <w:pPr>
        <w:jc w:val="left"/>
      </w:pPr>
      <w:r>
        <w:rPr>
          <w:b/>
        </w:rPr>
        <w:t>Bearbeiter:</w:t>
      </w:r>
      <w:r>
        <w:t xml:space="preserve"> Konrad Pohlmann</w:t>
      </w:r>
    </w:p>
    <w:p>
      <w:pPr>
        <w:jc w:val="left"/>
      </w:pPr>
      <w:r>
        <w:rPr>
          <w:b/>
        </w:rPr>
        <w:t>Stand:</w:t>
      </w:r>
      <w:r>
        <w:t xml:space="preserve"> 04.05.2026 (Recherche aus Tutoriengesprächen und Jahrgangstreffen)</w:t>
      </w:r>
    </w:p>
    <w:p/>
    <w:p>
      <w:pPr>
        <w:pStyle w:val="Heading2"/>
      </w:pPr>
      <w:r>
        <w:rPr>
          <w:rFonts w:ascii="Times New Roman" w:hAnsi="Times New Roman"/>
        </w:rPr>
        <w:t>Kurzprofil Prof. Dr. Werner Wandersleben</w:t>
      </w:r>
    </w:p>
    <w:p>
      <w:pPr>
        <w:pStyle w:val="ListBullet"/>
      </w:pPr>
      <w:r>
        <w:t>Lehrstuhlinhaber für Bürgerliches Recht, Schuldrecht und Zivilprozessrecht, Universität Leipzig</w:t>
      </w:r>
    </w:p>
    <w:p>
      <w:pPr>
        <w:pStyle w:val="ListBullet"/>
      </w:pPr>
      <w:r>
        <w:t>Forschungsschwerpunkte: Schuldrechtsmodernisierung, Verbraucherschutzrecht, Zivilprozessrecht</w:t>
      </w:r>
    </w:p>
    <w:p>
      <w:pPr>
        <w:pStyle w:val="ListBullet"/>
      </w:pPr>
      <w:r>
        <w:t>Bekannt für hohe formale Anforderungen an Zitierweise und Gutachtenstil</w:t>
      </w:r>
    </w:p>
    <w:p>
      <w:pPr>
        <w:pStyle w:val="ListBullet"/>
      </w:pPr>
      <w:r>
        <w:t>Frühere Veröffentlichungen: „Aufrechnung und Abtretung im modernen Schuldrecht", AcP 218 (2018), 450–489; „Verbrauchsgüterkauf nach der Warenkauf-Richtlinie", ZGS 2022, 1–18.</w:t>
      </w:r>
    </w:p>
    <w:p/>
    <w:p>
      <w:pPr>
        <w:pStyle w:val="Heading2"/>
      </w:pPr>
      <w:r>
        <w:rPr>
          <w:rFonts w:ascii="Times New Roman" w:hAnsi="Times New Roman"/>
        </w:rPr>
        <w:t>I. Formale Anforderungen (Wandersleben-Standard)</w:t>
      </w:r>
    </w:p>
    <w:p>
      <w:pPr>
        <w:pStyle w:val="Heading3"/>
      </w:pPr>
      <w:r>
        <w:rPr>
          <w:rFonts w:ascii="Times New Roman" w:hAnsi="Times New Roman"/>
        </w:rPr>
        <w:t>Zitierweise</w:t>
      </w:r>
    </w:p>
    <w:p>
      <w:pPr>
        <w:jc w:val="left"/>
      </w:pPr>
      <w:r>
        <w:t>Laut Tutoren aus dem Vorsemester legt Wandersleben auf folgende Punkte besonderen Wert:</w:t>
      </w:r>
    </w:p>
    <w:p>
      <w:pPr>
        <w:pStyle w:val="ListNumber"/>
      </w:pPr>
      <w:r>
        <w:rPr>
          <w:b/>
        </w:rPr>
        <w:t>BGH immer mit Fundstelle in NJW oder NJW-RR.</w:t>
      </w:r>
      <w:r>
        <w:t xml:space="preserve"> BeckRS reicht nicht; juris allein reicht nicht. Wer eine BGH-Entscheidung ohne NJW-Fundstelle zitiert, riskiert Abzug.</w:t>
      </w:r>
    </w:p>
    <w:p>
      <w:pPr>
        <w:pStyle w:val="ListNumber"/>
      </w:pPr>
      <w:r>
        <w:rPr>
          <w:b/>
        </w:rPr>
        <w:t>Kommentare immer mit Bearbeiter.</w:t>
      </w:r>
      <w:r>
        <w:t xml:space="preserve"> „Palandt, § 387 BGB, Rn. 5" ist falsch — richtig ist „Palandt/Grüneberg, § 387 BGB, Rn. 5".</w:t>
      </w:r>
    </w:p>
    <w:p>
      <w:pPr>
        <w:pStyle w:val="ListNumber"/>
      </w:pPr>
      <w:r>
        <w:rPr>
          <w:b/>
        </w:rPr>
        <w:t>Aufsätze vollständig angeben.</w:t>
      </w:r>
      <w:r>
        <w:t xml:space="preserve"> Im Fließtext genügt „Lorenz, NJW 2006, 1175, 1176"; im Literaturverzeichnis muss der vollständige Titel erscheinen.</w:t>
      </w:r>
    </w:p>
    <w:p>
      <w:pPr>
        <w:pStyle w:val="ListNumber"/>
      </w:pPr>
      <w:r>
        <w:rPr>
          <w:b/>
        </w:rPr>
        <w:t>Mindestens 2 verschiedene Kommentare.</w:t>
      </w:r>
      <w:r>
        <w:t xml:space="preserve"> Wer nur den Palandt zitiert, zeigt nach Wandersleben keine eigene Literaturarbeit. MüKo oder Staudinger als zweiter Kommentar ist Standard.</w:t>
      </w:r>
    </w:p>
    <w:p>
      <w:pPr>
        <w:pStyle w:val="ListNumber"/>
      </w:pPr>
      <w:r>
        <w:rPr>
          <w:b/>
        </w:rPr>
        <w:t>Fußnoten unmittelbar nach dem stützenden Satz.</w:t>
      </w:r>
      <w:r>
        <w:t xml:space="preserve"> Keine Sammelfußnoten am Absatzende.</w:t>
      </w:r>
    </w:p>
    <w:p>
      <w:pPr>
        <w:pStyle w:val="Heading3"/>
      </w:pPr>
      <w:r>
        <w:rPr>
          <w:rFonts w:ascii="Times New Roman" w:hAnsi="Times New Roman"/>
        </w:rPr>
        <w:t>Gutachtenstil</w:t>
      </w:r>
    </w:p>
    <w:p>
      <w:pPr>
        <w:jc w:val="left"/>
      </w:pPr>
      <w:r>
        <w:t>Wandersleben soll (laut Tutorienbericht) folgende Floskeln besonders schätzen:</w:t>
      </w:r>
    </w:p>
    <w:p>
      <w:pPr>
        <w:pStyle w:val="ListBullet"/>
      </w:pPr>
      <w:r>
        <w:t>„Fraglich ist, ob ..."</w:t>
      </w:r>
    </w:p>
    <w:p>
      <w:pPr>
        <w:pStyle w:val="ListBullet"/>
      </w:pPr>
      <w:r>
        <w:t>„Hierfür müsste ..."</w:t>
      </w:r>
    </w:p>
    <w:p>
      <w:pPr>
        <w:pStyle w:val="ListBullet"/>
      </w:pPr>
      <w:r>
        <w:t>„Im vorliegenden Fall ..."</w:t>
      </w:r>
    </w:p>
    <w:p>
      <w:pPr>
        <w:pStyle w:val="ListBullet"/>
      </w:pPr>
      <w:r>
        <w:t>„Somit ..."</w:t>
      </w:r>
    </w:p>
    <w:p>
      <w:pPr>
        <w:pStyle w:val="ListBullet"/>
      </w:pPr>
      <w:r>
        <w:t>„Zwischenergebnis: ..."</w:t>
      </w:r>
    </w:p>
    <w:p>
      <w:pPr>
        <w:jc w:val="left"/>
      </w:pPr>
      <w:r>
        <w:t>Und folgende ablehnen:</w:t>
      </w:r>
    </w:p>
    <w:p>
      <w:pPr>
        <w:pStyle w:val="ListBullet"/>
      </w:pPr>
      <w:r>
        <w:t>„Es ist zu prüfen, ob ..." (zu umständlich)</w:t>
      </w:r>
    </w:p>
    <w:p>
      <w:pPr>
        <w:pStyle w:val="ListBullet"/>
      </w:pPr>
      <w:r>
        <w:t>„Dies bedeutet, dass ..." (Urteilsstil-Verdacht)</w:t>
      </w:r>
    </w:p>
    <w:p>
      <w:pPr>
        <w:pStyle w:val="ListBullet"/>
      </w:pPr>
      <w:r>
        <w:t>„Hierbei ist zu beachten, dass ..." (nichtssagende Überleitung)</w:t>
      </w:r>
    </w:p>
    <w:p>
      <w:pPr>
        <w:pStyle w:val="Heading3"/>
      </w:pPr>
      <w:r>
        <w:rPr>
          <w:rFonts w:ascii="Times New Roman" w:hAnsi="Times New Roman"/>
        </w:rPr>
        <w:t>Seitenstrenge</w:t>
      </w:r>
    </w:p>
    <w:p>
      <w:pPr>
        <w:jc w:val="left"/>
      </w:pPr>
      <w:r>
        <w:t>Laut Tutorienbericht SS 25 hat Wandersleben bei Überschreitung auf 31+ Seiten die Arbeit ohne inhaltliche Prüfung mit „mangelhaft" bewertet. Das ist nach KHG Sachsen zulässig (Bearbeitungsregeln der Übung gelten als Prüfungsordnung).</w:t>
      </w:r>
    </w:p>
    <w:p/>
    <w:p>
      <w:pPr>
        <w:pStyle w:val="Heading2"/>
      </w:pPr>
      <w:r>
        <w:rPr>
          <w:rFonts w:ascii="Times New Roman" w:hAnsi="Times New Roman"/>
        </w:rPr>
        <w:t>II. Inhaltliche Präferenzen</w:t>
      </w:r>
    </w:p>
    <w:p>
      <w:pPr>
        <w:pStyle w:val="Heading3"/>
      </w:pPr>
      <w:r>
        <w:rPr>
          <w:rFonts w:ascii="Times New Roman" w:hAnsi="Times New Roman"/>
        </w:rPr>
        <w:t>Streitstandsdarstellung</w:t>
      </w:r>
    </w:p>
    <w:p>
      <w:pPr>
        <w:jc w:val="left"/>
      </w:pPr>
      <w:r>
        <w:t>Wandersleben bevorzugt eine klar strukturierte Darstellung:</w:t>
      </w:r>
    </w:p>
    <w:p>
      <w:pPr>
        <w:jc w:val="left"/>
      </w:pPr>
      <w:r>
        <w:t>```</w:t>
      </w:r>
    </w:p>
    <w:p>
      <w:pPr>
        <w:jc w:val="left"/>
      </w:pPr>
      <w:r>
        <w:t>"Nach Ansicht der h. M. ([Beleg 1]; [Beleg 2]) ..."</w:t>
      </w:r>
    </w:p>
    <w:p>
      <w:pPr>
        <w:jc w:val="left"/>
      </w:pPr>
      <w:r>
        <w:t>"Demgegenüber vertritt [Mindermeinung] die Auffassung, dass ..." ([Beleg])</w:t>
      </w:r>
    </w:p>
    <w:p>
      <w:pPr>
        <w:jc w:val="left"/>
      </w:pPr>
      <w:r>
        <w:t>"Der h. M. ist/ist nicht zu folgen, weil ..."</w:t>
      </w:r>
    </w:p>
    <w:p>
      <w:pPr>
        <w:jc w:val="left"/>
      </w:pPr>
      <w:r>
        <w:t>"Im vorliegenden Fall ..."</w:t>
      </w:r>
    </w:p>
    <w:p>
      <w:pPr>
        <w:jc w:val="left"/>
      </w:pPr>
      <w:r>
        <w:t>```</w:t>
      </w:r>
    </w:p>
    <w:p>
      <w:pPr>
        <w:jc w:val="left"/>
      </w:pPr>
      <w:r>
        <w:t>Er bewertet es negativ, wenn Studenten nur eine Meinung nennen und sagen „Es gibt auch andere Ansichten."</w:t>
      </w:r>
    </w:p>
    <w:p>
      <w:pPr>
        <w:pStyle w:val="Heading3"/>
      </w:pPr>
      <w:r>
        <w:rPr>
          <w:rFonts w:ascii="Times New Roman" w:hAnsi="Times New Roman"/>
        </w:rPr>
        <w:t>Lieblingsstreitstände laut Tutoren</w:t>
      </w:r>
    </w:p>
    <w:p>
      <w:pPr>
        <w:pStyle w:val="ListNumber"/>
      </w:pPr>
      <w:r>
        <w:t>§ 389 BGB — Rückwirkung der Aufrechnung (Fiktionstheorie vs. teleologische Reduktion)</w:t>
      </w:r>
    </w:p>
    <w:p>
      <w:pPr>
        <w:pStyle w:val="ListNumber"/>
      </w:pPr>
      <w:r>
        <w:t>§ 323 Abs. 5 S. 2 BGB — Erheblichkeit der Pflichtverletzung (BGH vs. Schrifttum)</w:t>
      </w:r>
    </w:p>
    <w:p>
      <w:pPr>
        <w:pStyle w:val="ListNumber"/>
      </w:pPr>
      <w:r>
        <w:t>§ 322 Abs. 2 ZPO — Hilfsaufrechnung (h. M. vs. Stein/Jonas)</w:t>
      </w:r>
    </w:p>
    <w:p>
      <w:pPr>
        <w:pStyle w:val="ListNumber"/>
      </w:pPr>
      <w:r>
        <w:t>§ 477 BGB — Beweislastumkehr beim Verbrauchsgüterkauf (Tragweite)</w:t>
      </w:r>
    </w:p>
    <w:p>
      <w:pPr>
        <w:pStyle w:val="ListNumber"/>
      </w:pPr>
      <w:r>
        <w:t>§ 286 Abs. 4 BGB — Vertretenmüssen bei berechtigter Aufrechnung</w:t>
      </w:r>
    </w:p>
    <w:p>
      <w:pPr>
        <w:jc w:val="left"/>
      </w:pPr>
      <w:r>
        <w:rPr>
          <w:b/>
        </w:rPr>
        <w:t>Mein Plan:</w:t>
      </w:r>
      <w:r>
        <w:t xml:space="preserve"> Alle fünf Streitstände vollständig ausarbeiten.</w:t>
      </w:r>
    </w:p>
    <w:p/>
    <w:p>
      <w:pPr>
        <w:pStyle w:val="Heading2"/>
      </w:pPr>
      <w:r>
        <w:rPr>
          <w:rFonts w:ascii="Times New Roman" w:hAnsi="Times New Roman"/>
        </w:rPr>
        <w:t>III. Häufige Fragen bei der Rückgabe</w:t>
      </w:r>
    </w:p>
    <w:p>
      <w:pPr>
        <w:jc w:val="left"/>
      </w:pPr>
      <w:r>
        <w:t>Laut Tutorienbericht fragt Wandersleben bei der Notenbekanntgabe gelegentlich nach:</w:t>
      </w:r>
    </w:p>
    <w:p>
      <w:pPr>
        <w:pStyle w:val="ListBullet"/>
      </w:pPr>
      <w:r>
        <w:t>„Warum haben Sie für die Erheblichkeit nach § 323 Abs. 5 S. 2 BGB den Verwendungszweck herangezogen?"</w:t>
      </w:r>
    </w:p>
    <w:p>
      <w:pPr>
        <w:pStyle w:val="ListBullet"/>
      </w:pPr>
      <w:r>
        <w:t>„Können Sie den Unterschied zwischen § 404 BGB und § 406 BGB in zwei Sätzen erklären?"</w:t>
      </w:r>
    </w:p>
    <w:p>
      <w:pPr>
        <w:pStyle w:val="ListBullet"/>
      </w:pPr>
      <w:r>
        <w:t>„Warum ist die Hilfsaufrechnung im Prozess zulässig, obwohl § 388 S. 2 BGB Bedingungsfeindlichkeit normiert?"</w:t>
      </w:r>
    </w:p>
    <w:p>
      <w:pPr>
        <w:jc w:val="left"/>
      </w:pPr>
      <w:r>
        <w:t>Diese Fragen zeigen, was er für die Kernpunkte der Aufgabe hält.</w:t>
      </w:r>
    </w:p>
    <w:p/>
    <w:p>
      <w:pPr>
        <w:pStyle w:val="Heading2"/>
      </w:pPr>
      <w:r>
        <w:rPr>
          <w:rFonts w:ascii="Times New Roman" w:hAnsi="Times New Roman"/>
        </w:rPr>
        <w:t>IV. Taktische Empfehlung</w:t>
      </w:r>
    </w:p>
    <w:p>
      <w:pPr>
        <w:jc w:val="left"/>
      </w:pPr>
      <w:r>
        <w:t>Auf Basis der Tutoriengespräche und des Tutorienberichts folgende Strategie:</w:t>
      </w:r>
    </w:p>
    <w:p>
      <w:pPr>
        <w:pStyle w:val="ListNumber"/>
      </w:pPr>
      <w:r>
        <w:t>Streitstand § 389 BGB sehr ausführlich (ca. 1,5 Seiten) — Wandersleben liebt diese Frage.</w:t>
      </w:r>
    </w:p>
    <w:p>
      <w:pPr>
        <w:pStyle w:val="ListNumber"/>
      </w:pPr>
      <w:r>
        <w:t>Streitstand § 323 Abs. 5 S. 2 BGB ausführlich mit Lorenz-Verweis — zeigt Aufsatzkenntnis.</w:t>
      </w:r>
    </w:p>
    <w:p>
      <w:pPr>
        <w:pStyle w:val="ListNumber"/>
      </w:pPr>
      <w:r>
        <w:t>§ 322 Abs. 2 ZPO als eigenständigen Hauptabschnitt C. behandeln — nicht als Anhang.</w:t>
      </w:r>
    </w:p>
    <w:p>
      <w:pPr>
        <w:pStyle w:val="ListNumber"/>
      </w:pPr>
      <w:r>
        <w:t>Literaturverzeichnis mit mindestens 15 Fundstellen (Kommentare + Urteile + Aufsätze).</w:t>
      </w:r>
    </w:p>
    <w:p>
      <w:pPr>
        <w:pStyle w:val="ListNumber"/>
      </w:pPr>
      <w:r>
        <w:t>Kein Bereicherungsrecht auf mehr als einer Seite — kein Kernthema.</w:t>
      </w:r>
    </w:p>
    <w:p/>
    <w:p>
      <w:pPr>
        <w:pStyle w:val="Heading2"/>
      </w:pPr>
      <w:r>
        <w:rPr>
          <w:rFonts w:ascii="Times New Roman" w:hAnsi="Times New Roman"/>
        </w:rPr>
        <w:t>V. Persönliche Notizen (Pohlmann)</w:t>
      </w:r>
    </w:p>
    <w:p>
      <w:pPr>
        <w:jc w:val="left"/>
      </w:pPr>
      <w:r>
        <w:t>Ich habe Wandersleben im Proseminar „Schuldrechtsmodernisierung" (WS 24/25) gehört. Er ist fair, aber streng. Sein größter Kritikpunkt ist „blauäugige Subsumtion ohne Streitstandskenntnis". Wer die Streitstände beherrscht und methodisch sauber arbeitet, kann sicher eine „befriedigend" oder besser erreichen.</w:t>
      </w:r>
    </w:p>
    <w:p>
      <w:pPr>
        <w:jc w:val="left"/>
      </w:pPr>
      <w:r>
        <w:t>Die Zitierweise ist das formale Handwerk — hier muss ich keine Fehler machen.</w:t>
      </w:r>
    </w:p>
    <w:p/>
    <w:p>
      <w:pPr>
        <w:jc w:val="left"/>
      </w:pPr>
      <w:r>
        <w:rPr>
          <w:i/>
        </w:rPr>
        <w:t>Aktenstück 21 von 22 — Prüfer-Erwartungen Wandersleben, Zitierfreude, Bewertungsmaßstab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