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— Abschluss: Ergebnisübersicht und Punktevergabe</w:t>
      </w:r>
    </w:p>
    <w:p>
      <w:pPr>
        <w:jc w:val="left"/>
      </w:pPr>
      <w:r>
        <w:rPr>
          <w:b/>
        </w:rPr>
        <w:t>Bearbeiter:</w:t>
      </w:r>
      <w:r>
        <w:t xml:space="preserve"> Konrad Pohlmann</w:t>
      </w:r>
    </w:p>
    <w:p>
      <w:pPr>
        <w:jc w:val="left"/>
      </w:pPr>
      <w:r>
        <w:rPr>
          <w:b/>
        </w:rPr>
        <w:t>Stand:</w:t>
      </w:r>
      <w:r>
        <w:t xml:space="preserve"> 06.06.2026 (nach Abgabe am 05.06.2026)</w:t>
      </w:r>
    </w:p>
    <w:p/>
    <w:p>
      <w:pPr>
        <w:pStyle w:val="Heading2"/>
      </w:pPr>
      <w:r>
        <w:rPr>
          <w:rFonts w:ascii="Times New Roman" w:hAnsi="Times New Roman"/>
        </w:rPr>
        <w:t>Abgabe erfolgt</w:t>
      </w:r>
    </w:p>
    <w:p>
      <w:pPr>
        <w:jc w:val="left"/>
      </w:pPr>
      <w:r>
        <w:t>Die Hausarbeit wurde am 05.06.2026 um 11:47 Uhr persönlich in den Briefkasten der Juristenfakultät der Universität Leipzig eingeworfen. Einwurfbeleg liegt der Akte bei (Kopie des Umschlags mit Datums-/Zeitstempel).</w:t>
      </w:r>
    </w:p>
    <w:p>
      <w:pPr>
        <w:jc w:val="left"/>
      </w:pPr>
      <w:r>
        <w:t>Die abgegebene Fassung entspricht Version 3 (hausarbeit_pohlmann_vollausarbeitung_v3_endfassung.docx), gedruckt und gebunden.</w:t>
      </w:r>
    </w:p>
    <w:p/>
    <w:p>
      <w:pPr>
        <w:pStyle w:val="Heading2"/>
      </w:pPr>
      <w:r>
        <w:rPr>
          <w:rFonts w:ascii="Times New Roman" w:hAnsi="Times New Roman"/>
        </w:rPr>
        <w:t>I. Gesamtergebnisse des Gutachtens (Zusammenfassung)</w:t>
      </w:r>
    </w:p>
    <w:p>
      <w:pPr>
        <w:pStyle w:val="Heading3"/>
      </w:pPr>
      <w:r>
        <w:rPr>
          <w:rFonts w:ascii="Times New Roman" w:hAnsi="Times New Roman"/>
        </w:rPr>
        <w:t>A. Ansprüche des A gegen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Anspruch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Kaufpreisanspruch § 433 Abs. 2 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(+) in Höhe von </w:t>
            </w:r>
            <w:r>
              <w:rPr>
                <w:rFonts w:ascii="Times New Roman" w:hAnsi="Times New Roman"/>
                <w:b/>
                <w:sz w:val="20"/>
              </w:rPr>
              <w:t>2.600 Euro</w:t>
            </w:r>
            <w:r>
              <w:rPr>
                <w:rFonts w:ascii="Times New Roman" w:hAnsi="Times New Roman"/>
                <w:sz w:val="20"/>
              </w:rPr>
              <w:t xml:space="preserve"> (nach Aufrechnung)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Wirksamkeit Aufrechnung § 387 ff. 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(+) Aufrechnungslage, Erklärung, kein Verbot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Erlöschen durch § 389 BGB (Rückwirkung)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(+) ex tunc auf 01.04.2026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Zurückbehaltungsrecht B (§§ 437 Nr. 1, 273 BGB)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(+) Zug-um-Zug gegen Mängelbeseitigung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Verzugsschadensersatz §§ 280 Abs. 1, 2, 286 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(+) auf 2.600 Euro ab 02.04.2026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Verzugszinsen § 288 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(+) 5 Pp über Basiszinssatz</w:t>
            </w:r>
          </w:p>
        </w:tc>
      </w:tr>
    </w:tbl>
    <w:p>
      <w:pPr>
        <w:jc w:val="left"/>
      </w:pPr>
      <w:r>
        <w:rPr>
          <w:b/>
        </w:rPr>
        <w:t>Gesamtergebnis A gegen B:</w:t>
      </w:r>
      <w:r>
        <w:t xml:space="preserve"> A hat Anspruch auf 2.600 Euro zzgl. Verzugszinsen, Zug-um-Zug gegen Nacherfüllung (Mängelbeseitigung).</w:t>
      </w:r>
    </w:p>
    <w:p/>
    <w:p>
      <w:pPr>
        <w:pStyle w:val="Heading3"/>
      </w:pPr>
      <w:r>
        <w:rPr>
          <w:rFonts w:ascii="Times New Roman" w:hAnsi="Times New Roman"/>
        </w:rPr>
        <w:t>B. Ansprüche/Gegenrechte des B gegen 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Anspruch/Gegenrecht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Abtretung A → C wirksam (§ 398 BGB)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(+) C ist neue Gläubigerin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Einwendungen B gegen C (§ 404 BGB)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(+) Forderungsbetrag nur 2.600 Euro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Mängeleinrede als Gegenrecht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(+) Zurückbehaltungsrecht B (§ 273 BGB)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Originäre Gewährleistungsansprüche B gegen C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(-) Kein Kaufvertrag B–C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Aufrechnung B gegen C (§ 406 BGB)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Hilfsweise (+), primär verdrängt durch § 404 BGB</w:t>
            </w:r>
          </w:p>
        </w:tc>
      </w:tr>
    </w:tbl>
    <w:p>
      <w:pPr>
        <w:jc w:val="left"/>
      </w:pPr>
      <w:r>
        <w:rPr>
          <w:b/>
        </w:rPr>
        <w:t>Gesamtergebnis B gegen C:</w:t>
      </w:r>
      <w:r>
        <w:t xml:space="preserve"> C kann nur 2.600 Euro verlangen; B hat zudem Zurückbehaltungsrecht aus Mängeleinrede.</w:t>
      </w:r>
    </w:p>
    <w:p/>
    <w:p>
      <w:pPr>
        <w:pStyle w:val="Heading3"/>
      </w:pPr>
      <w:r>
        <w:rPr>
          <w:rFonts w:ascii="Times New Roman" w:hAnsi="Times New Roman"/>
        </w:rPr>
        <w:t>C. Prozessuale Aufrechnung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Aspekt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Materiell-rechtliche Aufrechnung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Bereits am 10.04.2026 erklärt — wirksam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Geltendmachung im Prozess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Einwendung aus § 404 BGB (keine neue Erklärung nötig)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Hilfsweise prozessuale Aufrechnung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Zulässig (h. M.), § 322 Abs. 2 ZPO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Rechtskraft der Entscheidung über Gegenforderung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(+) § 322 Abs. 2 ZPO — Darlehensforderung in Rechtskraft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Hilfsaufrechnung trotz § 388 S. 2 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(+) h. M.: prozessual zulässig</w:t>
            </w:r>
          </w:p>
        </w:tc>
      </w:tr>
    </w:tbl>
    <w:p>
      <w:pPr>
        <w:jc w:val="left"/>
      </w:pPr>
      <w:r>
        <w:rPr>
          <w:b/>
        </w:rPr>
        <w:t>Gesamtergebnis C:</w:t>
      </w:r>
      <w:r>
        <w:t xml:space="preserve"> Prozessuale Aufrechnung des B ist zulässig und statthaft. Für den Fall der Hilfsaufrechnung erwächst die Entscheidung über die Darlehensgegenforderung in Rechtskraft (§ 322 Abs. 2 ZPO).</w:t>
      </w:r>
    </w:p>
    <w:p/>
    <w:p>
      <w:pPr>
        <w:pStyle w:val="Heading2"/>
      </w:pPr>
      <w:r>
        <w:rPr>
          <w:rFonts w:ascii="Times New Roman" w:hAnsi="Times New Roman"/>
        </w:rPr>
        <w:t>II. Streitstände in der Hausarbeit (Übersicht)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Streitstand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Entschiedene Position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389 BGB — Rückwirkung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h. M. (Fiktionstheorie)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323 Abs. 5 S. 2 BGB — Erheblichkeit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Erheblichkeit (+) wegen Verwendungszweck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322 Abs. 2 ZPO — Hilfsaufrechnung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h. M. (prozessual zulässig)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286 Abs. 4 BGB — Vertretenmüssen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h. M. (kein Verschulden bei berechtigter Aufrechnung)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Garantiehaftung vs. Verschulden VGK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BGH-Linie (Verschulden bleibt, aber Darlegungslast beim VK)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III. Selbsteinschätzung und Erwartung</w:t>
      </w:r>
    </w:p>
    <w:p>
      <w:pPr>
        <w:jc w:val="left"/>
      </w:pPr>
      <w:r>
        <w:t xml:space="preserve">Ich gehe von einer Bewertung im Bereich </w:t>
      </w:r>
      <w:r>
        <w:rPr>
          <w:b/>
        </w:rPr>
        <w:t>"befriedigend bis gut"</w:t>
      </w:r>
      <w:r>
        <w:t xml:space="preserve"> (8–12 Punkte) aus.</w:t>
      </w:r>
    </w:p>
    <w:p>
      <w:pPr>
        <w:jc w:val="left"/>
      </w:pPr>
      <w:r>
        <w:rPr>
          <w:b/>
        </w:rPr>
        <w:t>Stärken:</w:t>
      </w:r>
    </w:p>
    <w:p>
      <w:pPr>
        <w:pStyle w:val="ListBullet"/>
      </w:pPr>
      <w:r>
        <w:t>Streitstandsdarstellungen vollständig ausgearbeitet</w:t>
      </w:r>
    </w:p>
    <w:p>
      <w:pPr>
        <w:pStyle w:val="ListBullet"/>
      </w:pPr>
      <w:r>
        <w:t>Zitierweise konsequent (kein BeckRS)</w:t>
      </w:r>
    </w:p>
    <w:p>
      <w:pPr>
        <w:pStyle w:val="ListBullet"/>
      </w:pPr>
      <w:r>
        <w:t>Gutachtenstil durchgehend</w:t>
      </w:r>
    </w:p>
    <w:p>
      <w:pPr>
        <w:jc w:val="left"/>
      </w:pPr>
      <w:r>
        <w:rPr>
          <w:b/>
        </w:rPr>
        <w:t>Schwächen:</w:t>
      </w:r>
    </w:p>
    <w:p>
      <w:pPr>
        <w:pStyle w:val="ListBullet"/>
      </w:pPr>
      <w:r>
        <w:t>Abschnitt zur prozessualen Aufrechnung hätte noch tiefer sein können</w:t>
      </w:r>
    </w:p>
    <w:p>
      <w:pPr>
        <w:pStyle w:val="ListBullet"/>
      </w:pPr>
      <w:r>
        <w:t>§ 439 BGB Nacherfüllung etwas knapp behandelt</w:t>
      </w:r>
    </w:p>
    <w:p>
      <w:pPr>
        <w:pStyle w:val="ListBullet"/>
      </w:pPr>
      <w:r>
        <w:t>Seitenanzahl an der unteren Grenze (26 Seiten)</w:t>
      </w:r>
    </w:p>
    <w:p/>
    <w:p>
      <w:pPr>
        <w:pStyle w:val="Heading2"/>
      </w:pPr>
      <w:r>
        <w:rPr>
          <w:rFonts w:ascii="Times New Roman" w:hAnsi="Times New Roman"/>
        </w:rPr>
        <w:t>IV. Nächste Schritte</w:t>
      </w:r>
    </w:p>
    <w:p>
      <w:pPr>
        <w:pStyle w:val="ListBullet"/>
      </w:pPr>
      <w:r>
        <w:rPr>
          <w:b/>
        </w:rPr>
        <w:t>Ergebnis abwarten:</w:t>
      </w:r>
      <w:r>
        <w:t xml:space="preserve"> Bekanntgabe ca. 6–8 Wochen nach Abgabe (Mitte bis Ende Juli 2026)</w:t>
      </w:r>
    </w:p>
    <w:p>
      <w:pPr>
        <w:pStyle w:val="ListBullet"/>
      </w:pPr>
      <w:r>
        <w:rPr>
          <w:b/>
        </w:rPr>
        <w:t>Einsichtnahme beantragen</w:t>
      </w:r>
      <w:r>
        <w:t xml:space="preserve"> (falls Ergebnis unter 10 Punkten)</w:t>
      </w:r>
    </w:p>
    <w:p>
      <w:pPr>
        <w:pStyle w:val="ListBullet"/>
      </w:pPr>
      <w:r>
        <w:rPr>
          <w:b/>
        </w:rPr>
        <w:t>Ggf. Widerspruch</w:t>
      </w:r>
      <w:r>
        <w:t xml:space="preserve"> (innerhalb 2 Wochen nach Bekanntgabe)</w:t>
      </w:r>
    </w:p>
    <w:p/>
    <w:p>
      <w:pPr>
        <w:pStyle w:val="Heading2"/>
      </w:pPr>
      <w:r>
        <w:rPr>
          <w:rFonts w:ascii="Times New Roman" w:hAnsi="Times New Roman"/>
        </w:rPr>
        <w:t>V. Aktenschluss</w:t>
      </w:r>
    </w:p>
    <w:p>
      <w:pPr>
        <w:jc w:val="left"/>
      </w:pPr>
      <w:r>
        <w:t>Diese Akte umfasst 22 Aktenstücke plus Anlagen (DOCX, XLSX, EML, PDF, JPG).</w:t>
      </w:r>
    </w:p>
    <w:p>
      <w:pPr>
        <w:jc w:val="left"/>
      </w:pPr>
      <w:r>
        <w:rPr>
          <w:b/>
        </w:rPr>
        <w:t>Letzte Änderung:</w:t>
      </w:r>
      <w:r>
        <w:t xml:space="preserve"> 06.06.2026</w:t>
      </w:r>
    </w:p>
    <w:p>
      <w:pPr>
        <w:jc w:val="left"/>
      </w:pPr>
      <w:r>
        <w:rPr>
          <w:b/>
        </w:rPr>
        <w:t>Bearbeiter:</w:t>
      </w:r>
      <w:r>
        <w:t xml:space="preserve"> Konrad Pohlmann, Matrikelnummer 5811274</w:t>
      </w:r>
    </w:p>
    <w:p>
      <w:pPr>
        <w:jc w:val="left"/>
      </w:pPr>
      <w:r>
        <w:rPr>
          <w:b/>
        </w:rPr>
        <w:t>Plugin:</w:t>
      </w:r>
      <w:r>
        <w:t xml:space="preserve"> </w:t>
      </w:r>
      <w:r>
        <w:t>hausarbeitenmacher</w:t>
      </w:r>
    </w:p>
    <w:p/>
    <w:p>
      <w:pPr>
        <w:jc w:val="left"/>
      </w:pPr>
      <w:r>
        <w:rPr>
          <w:i/>
        </w:rPr>
        <w:t>Aktenstück 22 von 22 — Abschluss, Ergebnisübersicht, Punktevergabe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