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Haushaltsakte Bund/Land: Bürgergeld-Krankenversicherung, Verteidigungstitel, Sondervermögen, Deckungsfähigkeit, Nachtragshaushalt und Dashboard.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