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Haushaltsumschichtung Bürgergeld, Krankenversicherung und Verteidigung soll nicht nur ein Schlagwort geprüft werden. Zu klären ist, welche Anspruchs-, Befugnis-, Verfahrens- und Nachweisfragen aus Art. 110, 115 GG, BHO, Haushaltsgrundsätzegesetz, Jährlichkeit, Fälligkeit, Deckungsfähigkeit, Verpflichtungsermächtigung und Sondervermögen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Umschichtung von Bundesmitteln, Bürgergeld-KV, Verteidigungstitel, Nachtragshaushalt und politische Szenariozahlen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Art. 110, 115 GG, BHO, Haushaltsgrundsätzegesetz, Jährlichkeit, Fälligkeit, Deckungsfähigkeit, Verpflichtungsermächtigung und Sondervermögen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