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Umschichtung von Bundesmitteln, Bürgergeld-KV, Verteidigungstitel, Nachtragshaushalt und politische Szenariozahlen. Für eine sachgerechte Prüfung benötigen wir keine pauschale Bewertung, sondern eine nachvollziehbare Zuordnung zu Art. 110, 115 GG, BHO, Haushaltsgrundsätzegesetz, Jährlichkeit, Fälligkeit, Deckungsfähigkeit, Verpflichtungsermächtigung und Sondervermögen.</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