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</w:t>
      </w:r>
    </w:p>
    <w:p>
      <w:pPr>
        <w:jc w:val="left"/>
      </w:pPr>
      <w:r>
        <w:t>Waldkrone HealthTech GmbH erhält einen anonymen Hinweis zu Exportkontrolle, Produktdokumentation und Bonusdruck; zugleich droht ein Deal-NDA mit weit gefasster Verschwiegenheit.</w:t>
      </w:r>
    </w:p>
    <w:p>
      <w:pPr>
        <w:jc w:val="left"/>
      </w:pPr>
      <w:r>
        <w:t>Beteiligte: Geschäftsleitung, Rechtsabteilung, operative Fachabteilungen, externe IT/Compliance-Berater und mehrere Personen mit eigenen Interessen. Die Akte ist bewusst unaufgeräumt: manche Unterlagen widersprechen sich, Zahlenstände weichen ab und einzelne Dokumente wirken bereits überholt.</w:t>
      </w:r>
    </w:p>
    <w:p>
      <w:pPr>
        <w:jc w:val="left"/>
      </w:pPr>
      <w:r>
        <w:t>Arbeitsziel heute: zuerst sortieren, dann keine vorschnelle Rechtsmeinung ausgeben. Jede harte Aussage soll auf ein konkretes Aktenstück oder eine frei prüfbare Quelle zurückgeführt werden.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