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Zeitstrahl</w:t>
      </w:r>
    </w:p>
    <w:p>
      <w:pPr>
        <w:pStyle w:val="ListBullet"/>
      </w:pPr>
      <w:r>
        <w:t>04.02.2026: erster interner Hinweis auf Lücken und unklare Verantwortlichkeiten.</w:t>
      </w:r>
    </w:p>
    <w:p>
      <w:pPr>
        <w:pStyle w:val="ListBullet"/>
      </w:pPr>
      <w:r>
        <w:t>18.03.2026: Fachbereich bittet um schnelle Freigabe, obwohl Legal noch keine Unterlagen gesehen hat.</w:t>
      </w:r>
    </w:p>
    <w:p>
      <w:pPr>
        <w:pStyle w:val="ListBullet"/>
      </w:pPr>
      <w:r>
        <w:t>29.04.2026: externe Partei fragt nach Nachweisen und Fristen.</w:t>
      </w:r>
    </w:p>
    <w:p>
      <w:pPr>
        <w:pStyle w:val="ListBullet"/>
      </w:pPr>
      <w:r>
        <w:t>13.05.2026: Geschäftsleitung will eine entscheidungsfähige Vorlage bis Freitagmittag.</w:t>
      </w:r>
    </w:p>
    <w:p>
      <w:pPr>
        <w:pStyle w:val="ListBullet"/>
      </w:pPr>
      <w:r>
        <w:t>26.05.2026: mehrere neue Dateien kommen unsortiert per E-Mail und Chat.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