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Offene Punkte und Lückenliste — Hinweisgeberverfahren Waldkrone</w:t>
      </w:r>
    </w:p>
    <w:p>
      <w:pPr>
        <w:pStyle w:val="Heading2"/>
      </w:pPr>
      <w:r>
        <w:rPr>
          <w:rFonts w:ascii="Times New Roman" w:hAnsi="Times New Roman"/>
        </w:rPr>
        <w:t>Status</w:t>
      </w:r>
    </w:p>
    <w:p>
      <w:pPr>
        <w:jc w:val="left"/>
      </w:pPr>
      <w:r>
        <w:t>Stand: 02.06.2026, nach Eingang der Nachreichung der hinweisgebenden Person vom 30.05.2026. Verantwortlich: Justiziariat Waldkrone (Dr. Wedekind), externer Compliance (Steinmark). Eskalationspfad: Geschäftsleitung — Aufsichtsrat (vgl. Aufsichtsratsbefugnisse nach Satzung § 11).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Heading3"/>
      </w:pPr>
      <w:r>
        <w:rPr>
          <w:rFonts w:ascii="Times New Roman" w:hAnsi="Times New Roman"/>
        </w:rPr>
        <w:t>1. Rechtsquellen-Live-Check</w:t>
      </w:r>
    </w:p>
    <w:p>
      <w:pPr>
        <w:pStyle w:val="ListBullet"/>
      </w:pPr>
      <w:r>
        <w:rPr>
          <w:b/>
        </w:rPr>
        <w:t>HinSchG</w:t>
      </w:r>
      <w:r>
        <w:t xml:space="preserve">: Stand 2026, Änderungen durch das Whistleblower-Schutzgesetz-Ergänzungsgesetz prüfen — gegen </w:t>
      </w:r>
      <w:r>
        <w:t>gesetze-im-internet.de</w:t>
      </w:r>
      <w:r>
        <w:t xml:space="preserve"> verifizieren. Insbesondere die §§ 7, 8, 9 (Identitätsschutz), § 13 (Anonyme Meldungen), § 17 (Frist 3 Monate), §§ 33-37 (Repressalienschutz).</w:t>
      </w:r>
    </w:p>
    <w:p>
      <w:pPr>
        <w:pStyle w:val="ListBullet"/>
      </w:pPr>
      <w:r>
        <w:rPr>
          <w:b/>
        </w:rPr>
        <w:t>AWG/AWV</w:t>
      </w:r>
      <w:r>
        <w:t>: Sanktionspakete gegen Russland (Verordnungen 833/2014 ff., letzte Änderungen 2024/2025 live prüfen). Bei den im Hinweis genannten Bestimmungsländern sind die jeweils aktuellen Restriktionen entscheidend, nicht der Stand von 2022.</w:t>
      </w:r>
    </w:p>
    <w:p>
      <w:pPr>
        <w:pStyle w:val="ListBullet"/>
      </w:pPr>
      <w:r>
        <w:rPr>
          <w:b/>
        </w:rPr>
        <w:t>Dual-Use-VO 2021/821</w:t>
      </w:r>
      <w:r>
        <w:t>: Anhang I in der konsolidierten Fassung. Bei den fraglichen CNC-Modulen relevante ECCN-Klassen 2B201, 2B206 prüfen.</w:t>
      </w:r>
    </w:p>
    <w:p>
      <w:pPr>
        <w:pStyle w:val="ListBullet"/>
      </w:pPr>
      <w:r>
        <w:rPr>
          <w:b/>
        </w:rPr>
        <w:t>DSGVO</w:t>
      </w:r>
      <w:r>
        <w:t>: Art. 33 für die Frage Datenpanne, Art. 6 Abs. 1 lit. c iVm § 26 BDSG für die Bearbeitung der Mitarbeiterndaten im Hinweisgeberverfahren.</w:t>
      </w:r>
    </w:p>
    <w:p>
      <w:pPr>
        <w:pStyle w:val="Heading3"/>
      </w:pPr>
      <w:r>
        <w:rPr>
          <w:rFonts w:ascii="Times New Roman" w:hAnsi="Times New Roman"/>
        </w:rPr>
        <w:t>2. Fehlende technische und kaufmännische Nachweise</w:t>
      </w:r>
    </w:p>
    <w:p>
      <w:pPr>
        <w:pStyle w:val="ListBullet"/>
      </w:pPr>
      <w:r>
        <w:rPr>
          <w:b/>
        </w:rPr>
        <w:t>Produktklassifizierungsmatrix</w:t>
      </w:r>
      <w:r>
        <w:t xml:space="preserve"> für die im Hinweis genannten CNC-Module: vollständige Auflistung sämtlicher Artikelnummern, Dual-Use-Zuordnung, Begründung. Bislang nur partielle Aufstellung im Aktenstück 02.</w:t>
      </w:r>
    </w:p>
    <w:p>
      <w:pPr>
        <w:pStyle w:val="ListBullet"/>
      </w:pPr>
      <w:r>
        <w:rPr>
          <w:b/>
        </w:rPr>
        <w:t>Exportfreigaben-Register</w:t>
      </w:r>
      <w:r>
        <w:t>: vollständiger Auszug aller Lieferungen in die genannten Bestimmungsländer 2023-2026, mit Datum, Empfänger, Genehmigungs-Az BAFA.</w:t>
      </w:r>
    </w:p>
    <w:p>
      <w:pPr>
        <w:pStyle w:val="ListBullet"/>
      </w:pPr>
      <w:r>
        <w:rPr>
          <w:b/>
        </w:rPr>
        <w:t>Sanktionslisten-Screening-Protokolle</w:t>
      </w:r>
      <w:r>
        <w:t>: Wann wurden die Empfänger gegen welche Listen gescreent? Werkzeug (HISAN, World-Check, andere)? Verantwortlicher?</w:t>
      </w:r>
    </w:p>
    <w:p>
      <w:pPr>
        <w:pStyle w:val="ListBullet"/>
      </w:pPr>
      <w:r>
        <w:rPr>
          <w:b/>
        </w:rPr>
        <w:t>Bonusvereinbarungen Vertrieb 2023-2026</w:t>
      </w:r>
      <w:r>
        <w:t>: Existierten Zielvorgaben, die nur durch Lieferungen in die fraglichen Länder erreichbar waren?</w:t>
      </w:r>
    </w:p>
    <w:p>
      <w:pPr>
        <w:pStyle w:val="ListBullet"/>
      </w:pPr>
      <w:r>
        <w:rPr>
          <w:b/>
        </w:rPr>
        <w:t>Compliance-Schulungsmaterial</w:t>
      </w:r>
      <w:r>
        <w:t xml:space="preserve"> der letzten 24 Monate für Vertriebsmitarbeitende — Nachweis, dass AWG-Regeln gelehrt wurden.</w:t>
      </w:r>
    </w:p>
    <w:p>
      <w:pPr>
        <w:pStyle w:val="Heading3"/>
      </w:pPr>
      <w:r>
        <w:rPr>
          <w:rFonts w:ascii="Times New Roman" w:hAnsi="Times New Roman"/>
        </w:rPr>
        <w:t>3. Widersprüche zwischen Aktenstücken</w:t>
      </w:r>
    </w:p>
    <w:p>
      <w:pPr>
        <w:pStyle w:val="ListBullet"/>
      </w:pPr>
      <w:r>
        <w:rPr>
          <w:b/>
        </w:rPr>
        <w:t>Erstmeldung vs. Nachreichung der hinweisgebenden Person</w:t>
      </w:r>
      <w:r>
        <w:t>: Die Erstmeldung benennt 3 konkrete Lieferungen, die Nachreichung weicht in einem Datum ab (15.03.2026 vs. 18.03.2026). Klärung über Beleg, nicht über Rückfrage an die hinweisgebende Person (Identitätsschutz).</w:t>
      </w:r>
    </w:p>
    <w:p>
      <w:pPr>
        <w:pStyle w:val="ListBullet"/>
      </w:pPr>
      <w:r>
        <w:rPr>
          <w:b/>
        </w:rPr>
        <w:t>Interne Versandlisten vs. externe Zollanmeldung</w:t>
      </w:r>
      <w:r>
        <w:t xml:space="preserve">: Bei mindestens einer Lieferung (Sendung ID </w:t>
      </w:r>
      <w:r>
        <w:t>WLK-2026-0247</w:t>
      </w:r>
      <w:r>
        <w:t>) weicht die in der Versandliste eingetragene Empfängeradresse von der Zollanmeldung ab. Erklärung suchen, nicht annehmen.</w:t>
      </w:r>
    </w:p>
    <w:p>
      <w:pPr>
        <w:pStyle w:val="ListBullet"/>
      </w:pPr>
      <w:r>
        <w:rPr>
          <w:b/>
        </w:rPr>
        <w:t>Vertriebsprotokoll Bestellannahme</w:t>
      </w:r>
      <w:r>
        <w:t xml:space="preserve"> vs. </w:t>
      </w:r>
      <w:r>
        <w:rPr>
          <w:b/>
        </w:rPr>
        <w:t>Buchhaltung</w:t>
      </w:r>
      <w:r>
        <w:t>: Bei zwei Bestellungen widersprechen sich der Preis-Eintrag im CRM und die Rechnungserstellung in DATEV. Spricht für nachträgliche Anpassung — Beleg sichern.</w:t>
      </w:r>
    </w:p>
    <w:p>
      <w:pPr>
        <w:pStyle w:val="Heading3"/>
      </w:pPr>
      <w:r>
        <w:rPr>
          <w:rFonts w:ascii="Times New Roman" w:hAnsi="Times New Roman"/>
        </w:rPr>
        <w:t>4. Beweisfundstellen für harte Aussagen</w:t>
      </w:r>
    </w:p>
    <w:p>
      <w:pPr>
        <w:pStyle w:val="ListBullet"/>
      </w:pPr>
      <w:r>
        <w:t>Behauptung "Geschäftsleitung wusste seit März 2026": derzeit nur indirekt aus E-Mail des Vertriebsleiters an CEO. Bessere Belege: Sitzungsprotokolle Geschäftsleitung, Kalendereinträge.</w:t>
      </w:r>
    </w:p>
    <w:p>
      <w:pPr>
        <w:pStyle w:val="ListBullet"/>
      </w:pPr>
      <w:r>
        <w:t>Behauptung "Compliance-Officer wurde gezielt umgangen": derzeit nur Hörensagen aus dem Hinweis. Bessere Belege: E-Mail-Verteilerlisten, Freigabematrix.</w:t>
      </w:r>
    </w:p>
    <w:p>
      <w:pPr>
        <w:pStyle w:val="ListBullet"/>
      </w:pPr>
      <w:r>
        <w:t>Behauptung "Drucksituation im Vertrieb": derzeit nur subjektive Schilderung. Bessere Belege: Zielvereinbarungen, Performance-Reviews, Mitarbeitergespräche (anonymisiert).</w:t>
      </w:r>
    </w:p>
    <w:p>
      <w:pPr>
        <w:pStyle w:val="Heading2"/>
      </w:pPr>
      <w:r>
        <w:rPr>
          <w:rFonts w:ascii="Times New Roman" w:hAnsi="Times New Roman"/>
        </w:rPr>
        <w:t>Lückenliste (Dokumente)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Lücke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Beweisthema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Beschaffungsweg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 xml:space="preserve">Vollständige Versandakte Sendungen </w:t>
            </w:r>
            <w:r>
              <w:rPr>
                <w:rFonts w:ascii="Times New Roman" w:hAnsi="Times New Roman"/>
                <w:sz w:val="20"/>
              </w:rPr>
              <w:t>WLK-2026-0247</w:t>
            </w:r>
            <w:r>
              <w:rPr>
                <w:rFonts w:ascii="Times New Roman" w:hAnsi="Times New Roman"/>
                <w:sz w:val="20"/>
              </w:rPr>
              <w:t xml:space="preserve"> ff.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Lieferung in sanktioniertes Bestimmungsland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intern Vertrieb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 Werktage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Justiziarin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beantragt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Original-Zollanmeldungen + ATLAS-Belege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Empfänger, Klassifizierung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Zollabteilung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 Werktage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Compliance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beantragt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BAFA-Genehmigungs-Az der jeweiligen Lieferungen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Genehmigungsstand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Zollabteilung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Compliance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Sanktionslisten-Screening-Protokoll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Sorgfalt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IT-Compliance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 Werktage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Compliance-Schulungsmaterial 2023-2026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Aufsichtspflicht § 130 OWiG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 Werktage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HR-Direktor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Bonusvereinbarungen Vertrieb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Drucksituation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 Werktage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HR-Direktor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Sitzungsprotokolle Geschäftsleitung 03/2026 ff.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Kenntnisstand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Sekretariat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 Werktage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Sekretariat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E-Mail-Verkehr Vertriebsleitung ↔ CEO 03-05/2026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Kenntnis und Anweisungen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IT-Forensik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 Werktage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Freigabematrix Lieferungen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Umgehung Compliance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interne IT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 Werktage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Mitarbeiterbefragung Vertrieb (anonymisiert)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Drucksituation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externer Auditor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 Wochen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extern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wird beauftragt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Grundregeln für die Aktenbearbeitung</w:t>
      </w:r>
    </w:p>
    <w:p>
      <w:pPr>
        <w:pStyle w:val="ListBullet"/>
      </w:pPr>
      <w:r>
        <w:t>Originalquellen und aktuelle Gesetzesfassungen live prüfen — kein Vertrauen in Schriftsätze aus Altakten.</w:t>
      </w:r>
    </w:p>
    <w:p>
      <w:pPr>
        <w:pStyle w:val="ListBullet"/>
      </w:pPr>
      <w:r>
        <w:t>Fehlende technische oder kaufmännische Nachweise nicht durch Vermutungen ersetzen, sondern als Lücke führen und gezielt beschaffen.</w:t>
      </w:r>
    </w:p>
    <w:p>
      <w:pPr>
        <w:pStyle w:val="ListBullet"/>
      </w:pPr>
      <w:r>
        <w:t>Widersprüche zwischen E-Mail, Tabelle und Vertrag im Decision-Log markieren und protokollarisch auflösen.</w:t>
      </w:r>
    </w:p>
    <w:p>
      <w:pPr>
        <w:pStyle w:val="ListBullet"/>
      </w:pPr>
      <w:r>
        <w:t>Für harte Aussagen immer Aktenfundstelle (Aktenstück-Nummer, Seite, Absatz) zitieren — andernfalls als "noch zu belegen" kennzeichnen.</w:t>
      </w:r>
    </w:p>
    <w:p>
      <w:pPr>
        <w:pStyle w:val="ListBullet"/>
      </w:pPr>
      <w:r>
        <w:t>Identitätsschutz der hinweisgebenden Person bleibt absoluter Vorrang. Keine Recherche, die Re-Identifikation ermöglicht (z. B. gezielte Befragung in einer Abteilung mit nur drei Personen).</w:t>
      </w:r>
    </w:p>
    <w:p>
      <w:pPr>
        <w:pStyle w:val="Heading2"/>
      </w:pPr>
      <w:r>
        <w:rPr>
          <w:rFonts w:ascii="Times New Roman" w:hAnsi="Times New Roman"/>
        </w:rPr>
        <w:t>Nächste Aktualisierung</w:t>
      </w:r>
    </w:p>
    <w:p>
      <w:pPr>
        <w:jc w:val="left"/>
      </w:pPr>
      <w:r>
        <w:t>Donnerstag, 04.06.2026, 16:00 Uhr — vor der Strategie-Sitzung mit Geschäftsleitung.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