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Projektauftrag und Vertragsstand</w:t>
      </w:r>
    </w:p>
    <w:p>
      <w:pPr>
        <w:jc w:val="left"/>
      </w:pPr>
      <w:r>
        <w:t>Auftraggeberin: Mühlenhof Bildung gGmbH. Projekt: Kita mit 96 Plätzen, Quartiersküche, Bewegungsraum, Elterncafé und Dachbegrünung. Architektin: Atelier Westarp &amp; Partner. TGA: Ingenieurbüro Kalthoff. Tragwerk: Birkhahn Statik.</w:t>
      </w:r>
    </w:p>
    <w:p>
      <w:pPr>
        <w:jc w:val="left"/>
      </w:pPr>
      <w:r>
        <w:t>Vertrag vom 17.01.2026: Stufenbeauftragung zunächst LPH 1 bis 3, optional LPH 4 bis 8, LPH 9 nur "nach Bedarf". Honorarvereinbarung verweist auf HOAI 2021, enthält aber unklare Pauschale für "alle üblichen Leistungen". Bauherrin meint, Bauüberwachung sei schon pauschal im ersten Auftrag "mitgedacht". Architektin meint, ab LPH 4 müsse neu abgerufen werden. Fördermittelgeber verlangt Kostendisziplin und Vergabedokumentation.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