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LPH 1 Grundlagenermittlung</w:t>
      </w:r>
    </w:p>
    <w:p>
      <w:pPr>
        <w:jc w:val="left"/>
      </w:pPr>
      <w:r>
        <w:t>Geklärt: Grundstück, grobe Platzzahl, pädagogisches Konzept, Wunsch nach Bewegungsraum und Quartiersküche. Nicht geklärt: Lärmschutz zur Nachbarbebauung, Küchenlüftung, Brandschutz für Elterncafé, Freianlagen, Barrierefreiheit im Bestand, Fördermittelbedingungen und Betriebserlaubnis-Anforderungen.</w:t>
      </w:r>
    </w:p>
    <w:p>
      <w:pPr>
        <w:jc w:val="left"/>
      </w:pPr>
      <w:r>
        <w:t>Die Ortsbesichtigung fand am 21.01.2026 statt. Es gibt Fotos, aber kein abgestimmtes Ergebnisprotokoll. Die Bauherrin hat mündlich gesagt, "das Elterncafé kann notfalls kleiner werden". Diese Aussage ist nirgends freigegeben.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