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LPH 2 Vorplanung Varianten</w:t>
      </w:r>
    </w:p>
    <w:p>
      <w:pPr>
        <w:jc w:val="left"/>
      </w:pPr>
      <w:r>
        <w:t>Variante A: kompakter Neubau, Küche innenliegend, günstiger, aber schlechter Tageslichtbezug.</w:t>
      </w:r>
    </w:p>
    <w:p>
      <w:pPr>
        <w:jc w:val="left"/>
      </w:pPr>
      <w:r>
        <w:t>Variante B: Hofriegel mit Bewegungsraum zum Garten, bessere Pädagogik, Mehrkosten ca. 410.000 EUR.</w:t>
      </w:r>
    </w:p>
    <w:p>
      <w:pPr>
        <w:jc w:val="left"/>
      </w:pPr>
      <w:r>
        <w:t>Variante C: modulare Bauweise, schnell, aber Fördermittelgeber unsicher.</w:t>
      </w:r>
    </w:p>
    <w:p>
      <w:pPr>
        <w:jc w:val="left"/>
      </w:pPr>
      <w:r>
        <w:t>Politische Freigabe Bezirksausschuss: Variante B "im Grundsatz". Kosten wurden nur als Kostenschätzung präsentiert. TGA weist darauf hin, dass die Küchenabluft bei Variante B eine Dachführung braucht. Tragwerk sieht Gründung wegen alter Auffüllung als offen an.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