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LPH 8 Baustellenprotokolle Auszug</w:t>
      </w:r>
    </w:p>
    <w:p>
      <w:pPr>
        <w:pStyle w:val="Heading2"/>
      </w:pPr>
      <w:r>
        <w:rPr>
          <w:rFonts w:ascii="Times New Roman" w:hAnsi="Times New Roman"/>
        </w:rPr>
        <w:t>Jour fixe 12.05.2026</w:t>
      </w:r>
    </w:p>
    <w:p>
      <w:pPr>
        <w:jc w:val="left"/>
      </w:pPr>
      <w:r>
        <w:t>Rohbauer meldet Behinderung wegen fehlender Detailplanung Gründung Nord-Ost. Architektin verweist auf Baugrundgutachter. Bauherrin fragt, warum "die Bauüberwachung das nicht vorher gesehen" habe.</w:t>
      </w:r>
    </w:p>
    <w:p>
      <w:pPr>
        <w:pStyle w:val="Heading2"/>
      </w:pPr>
      <w:r>
        <w:rPr>
          <w:rFonts w:ascii="Times New Roman" w:hAnsi="Times New Roman"/>
        </w:rPr>
        <w:t>Jour fixe 19.05.2026</w:t>
      </w:r>
    </w:p>
    <w:p>
      <w:pPr>
        <w:jc w:val="left"/>
      </w:pPr>
      <w:r>
        <w:t>TGA öffnet Decke im Küchenbereich: Lüftung kollidiert mit Unterzug. Unternehmer kündigt Nachtrag an. Architektin verlangt Planabgleich TGA/Tragwerk binnen 48 Stunden.</w:t>
      </w:r>
    </w:p>
    <w:p>
      <w:pPr>
        <w:pStyle w:val="Heading2"/>
      </w:pPr>
      <w:r>
        <w:rPr>
          <w:rFonts w:ascii="Times New Roman" w:hAnsi="Times New Roman"/>
        </w:rPr>
        <w:t>Jour fixe 26.05.2026</w:t>
      </w:r>
    </w:p>
    <w:p>
      <w:pPr>
        <w:jc w:val="left"/>
      </w:pPr>
      <w:r>
        <w:t>Holzfassade Musterfläche montiert. Brandschutzsachverständiger moniert Befestigungsdetail. Bauherrin will trotzdem Pressefoto machen. Offene Frage: Freigabe verweigern oder mit Vorbehalt dokumentieren.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