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LPH 9 Objektbetreuung Gewährleistungsplan</w:t>
      </w:r>
    </w:p>
    <w:p>
      <w:pPr>
        <w:jc w:val="left"/>
      </w:pPr>
      <w:r>
        <w:t>Noch nicht beauftragt, aber dringend vorzudenken: Gewährleistungsfristen, Wartungsverträge Lüftung/PV, Begehung vor Ablauf der Verjährung, Mängeltracking aus LPH 8, Nutzerbeschwerden aus Kita-Betrieb und Dokumentation der Abnahmen.</w:t>
      </w:r>
    </w:p>
    <w:p>
      <w:pPr>
        <w:jc w:val="left"/>
      </w:pPr>
      <w:r>
        <w:t>Risiko: Wenn LPH 9 nicht sauber beauftragt ist, glaubt die Bauherrin trotzdem, die Architektin überwache alle Gewährleistungsfristen. Das muss vertraglich und organisatorisch geklärt werden.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